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4FB0" w14:textId="70404C6B" w:rsidR="00A27724" w:rsidRPr="005E1174" w:rsidRDefault="00A27724" w:rsidP="00A277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</w:rPr>
        <w:t>УДК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331.443</w:t>
      </w:r>
    </w:p>
    <w:p w14:paraId="52C48002" w14:textId="1DB6B612" w:rsidR="00A27724" w:rsidRPr="005E1174" w:rsidRDefault="00A27724" w:rsidP="00A277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39002" w14:textId="33043DAE" w:rsidR="00A27724" w:rsidRPr="005E1174" w:rsidRDefault="0029799F" w:rsidP="00A277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Артамонов А.В.</w:t>
      </w:r>
    </w:p>
    <w:p w14:paraId="33FDBA0F" w14:textId="0425E8F1" w:rsidR="00A27724" w:rsidRPr="005E1174" w:rsidRDefault="00A27724" w:rsidP="00A2772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Аспират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1-ого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года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обучения</w:t>
      </w:r>
    </w:p>
    <w:p w14:paraId="0E7855F0" w14:textId="23CF5EEA" w:rsidR="00A27724" w:rsidRPr="005E1174" w:rsidRDefault="00A27724" w:rsidP="00A2772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Российская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Федерация,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11D12E21" w14:textId="7C7E06E3" w:rsidR="00A27724" w:rsidRPr="005E1174" w:rsidRDefault="00A27724" w:rsidP="00A2772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Международный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банковский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институт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имени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Анатолия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Собчака</w:t>
      </w:r>
    </w:p>
    <w:p w14:paraId="1134CF31" w14:textId="520DE915" w:rsidR="00A27724" w:rsidRPr="005E1174" w:rsidRDefault="00A27724" w:rsidP="00A277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0F791" w14:textId="77777777" w:rsidR="00A27724" w:rsidRPr="005E1174" w:rsidRDefault="00A27724" w:rsidP="00A27724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29764CF8" w14:textId="787441BF" w:rsidR="00A27724" w:rsidRPr="005E1174" w:rsidRDefault="00A27724" w:rsidP="00A27724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Целью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отрасль,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современных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реалиях.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всестороннего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области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проанализированы,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точки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зрения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принятых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методов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отрасли.</w:t>
      </w:r>
    </w:p>
    <w:p w14:paraId="3A739106" w14:textId="0E2B9281" w:rsidR="00A27724" w:rsidRPr="005E1174" w:rsidRDefault="00A27724" w:rsidP="00A27724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</w:rPr>
        <w:t>Ключевые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слова:</w:t>
      </w:r>
    </w:p>
    <w:p w14:paraId="7E8F5F3A" w14:textId="6ADA9C52" w:rsidR="00A27724" w:rsidRPr="005E1174" w:rsidRDefault="00A27724" w:rsidP="00A27724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Мотивация,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отрасль,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персонал</w:t>
      </w:r>
    </w:p>
    <w:p w14:paraId="7AB3AA16" w14:textId="77777777" w:rsidR="00A27724" w:rsidRPr="005E1174" w:rsidRDefault="00A27724" w:rsidP="00A277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46766" w14:textId="4E4B57B9" w:rsidR="003F1C5D" w:rsidRPr="005E1174" w:rsidRDefault="00A27724" w:rsidP="002D605C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</w:rPr>
        <w:t>СОВРЕМЕННЫЕ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АСПЕКТЫ,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ОТРАСЛИ</w:t>
      </w:r>
    </w:p>
    <w:p w14:paraId="2BB100A4" w14:textId="77777777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6D18C" w14:textId="0C3BF691" w:rsidR="00C00931" w:rsidRPr="0029799F" w:rsidRDefault="0029799F" w:rsidP="00C00931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Artamonov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</w:t>
      </w:r>
      <w:bookmarkStart w:id="0" w:name="_GoBack"/>
      <w:bookmarkEnd w:id="0"/>
    </w:p>
    <w:p w14:paraId="1313BB05" w14:textId="6667E5F8" w:rsidR="0040019F" w:rsidRPr="005E1174" w:rsidRDefault="0040019F" w:rsidP="00C0093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1st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study</w:t>
      </w:r>
    </w:p>
    <w:p w14:paraId="0754C0E6" w14:textId="769B2345" w:rsidR="00C00931" w:rsidRPr="005E1174" w:rsidRDefault="00C00931" w:rsidP="00C0093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Federation,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Saint-Petersburg</w:t>
      </w:r>
    </w:p>
    <w:p w14:paraId="2E1A5C25" w14:textId="32FA5B89" w:rsidR="0093746D" w:rsidRPr="005E1174" w:rsidRDefault="00C00931" w:rsidP="00667BA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Banking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Anatoliy</w:t>
      </w:r>
      <w:proofErr w:type="spellEnd"/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Sobchak</w:t>
      </w:r>
      <w:proofErr w:type="spellEnd"/>
    </w:p>
    <w:p w14:paraId="0578AF84" w14:textId="77777777" w:rsidR="00667BAC" w:rsidRPr="005E1174" w:rsidRDefault="00667BAC" w:rsidP="00667BA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A038E7" w14:textId="77777777" w:rsidR="00233E9A" w:rsidRPr="005E1174" w:rsidRDefault="0093746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Abstract:</w:t>
      </w:r>
    </w:p>
    <w:p w14:paraId="71971371" w14:textId="0989C5E8" w:rsidR="0093746D" w:rsidRPr="005E1174" w:rsidRDefault="0093746D" w:rsidP="00667BA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purpose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aspects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realities.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comprehensive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field,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aspects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analyzed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accepted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methods.</w:t>
      </w:r>
    </w:p>
    <w:p w14:paraId="5A40F46B" w14:textId="77777777" w:rsidR="00233E9A" w:rsidRPr="005E1174" w:rsidRDefault="0093746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</w:p>
    <w:p w14:paraId="42F26C16" w14:textId="64A38E0F" w:rsidR="0093746D" w:rsidRPr="005E1174" w:rsidRDefault="00233E9A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otivation,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productivity,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industry,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aspects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industry,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employees</w:t>
      </w:r>
      <w:r w:rsidR="0093746D"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staff</w:t>
      </w:r>
    </w:p>
    <w:p w14:paraId="49101039" w14:textId="01F207B0" w:rsidR="0093746D" w:rsidRPr="005E1174" w:rsidRDefault="0093746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D9DD16" w14:textId="69E22322" w:rsidR="00667BAC" w:rsidRPr="005E1174" w:rsidRDefault="00667BAC" w:rsidP="004C5E8D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MODERN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ASPECTS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AFFECTING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PRODUCTIVITY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  <w:lang w:val="en-US"/>
        </w:rPr>
        <w:t>INDUSTRY</w:t>
      </w:r>
    </w:p>
    <w:p w14:paraId="6B258A40" w14:textId="4258DAA3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Строительная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праву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одной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крупнейших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ресурсоемких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мире,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так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долю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приходится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порядка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50%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сырья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40%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мирового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потребления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энергии</w:t>
      </w:r>
      <w:r w:rsidR="00E259F5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РФ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строительство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также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одной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ключевых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отраслей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экономики.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стоимость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сектора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составляет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среднем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2</w:t>
      </w:r>
      <w:r w:rsidRPr="005E1174">
        <w:rPr>
          <w:rFonts w:ascii="Times New Roman" w:hAnsi="Times New Roman" w:cs="Times New Roman"/>
          <w:sz w:val="28"/>
          <w:szCs w:val="28"/>
        </w:rPr>
        <w:t>%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7</w:t>
      </w:r>
      <w:r w:rsidRPr="005E1174">
        <w:rPr>
          <w:rFonts w:ascii="Times New Roman" w:hAnsi="Times New Roman" w:cs="Times New Roman"/>
          <w:sz w:val="28"/>
          <w:szCs w:val="28"/>
        </w:rPr>
        <w:t>%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валового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внутреннего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продукта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(ВВП)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экономик</w:t>
      </w:r>
      <w:r w:rsidR="00E259F5" w:rsidRPr="005E1174">
        <w:rPr>
          <w:rFonts w:ascii="Times New Roman" w:hAnsi="Times New Roman" w:cs="Times New Roman"/>
          <w:sz w:val="28"/>
          <w:szCs w:val="28"/>
        </w:rPr>
        <w:t>и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[1]</w:t>
      </w:r>
      <w:r w:rsidR="00E259F5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259F5" w:rsidRPr="005E1174">
        <w:rPr>
          <w:rFonts w:ascii="Times New Roman" w:hAnsi="Times New Roman" w:cs="Times New Roman"/>
          <w:sz w:val="28"/>
          <w:szCs w:val="28"/>
        </w:rPr>
        <w:t>П</w:t>
      </w:r>
      <w:r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сравнению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другими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отраслями,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отрасль,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по-видимому,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отстает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использовании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внедрении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технологических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достижений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использует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множество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неквалифицированных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строительстве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первую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очередь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зависит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</w:t>
      </w:r>
      <w:r w:rsidR="009E5C90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странах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сектор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сталкивается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одной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самых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серьезных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проблем,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связанных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низким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уровнем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первопричин,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снижению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ВВП</w:t>
      </w:r>
      <w:r w:rsidR="00EF5C75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следствие,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инфляционного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давления,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социальным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конфликтам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проблем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экономике</w:t>
      </w:r>
      <w:r w:rsidR="009E5C90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определяющий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стимулирующему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строительства.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одним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самых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сложных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управления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контроля.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критически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аспекты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труда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Понимание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строительстве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разработке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стратегий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снижению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неэффективности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следствие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эффективности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проектов</w:t>
      </w:r>
      <w:r w:rsidR="00EF5C75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счет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рационального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управления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F5C75"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следует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всеобъемлющий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углубленный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труда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получить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обширную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картину,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сфокусировать</w:t>
      </w:r>
      <w:r w:rsidR="00C578E3" w:rsidRPr="005E1174">
        <w:rPr>
          <w:rFonts w:ascii="Times New Roman" w:hAnsi="Times New Roman" w:cs="Times New Roman"/>
          <w:sz w:val="28"/>
          <w:szCs w:val="28"/>
        </w:rPr>
        <w:t>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дальнейш</w:t>
      </w:r>
      <w:r w:rsidR="00C578E3" w:rsidRPr="005E1174">
        <w:rPr>
          <w:rFonts w:ascii="Times New Roman" w:hAnsi="Times New Roman" w:cs="Times New Roman"/>
          <w:sz w:val="28"/>
          <w:szCs w:val="28"/>
        </w:rPr>
        <w:t>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</w:t>
      </w:r>
      <w:r w:rsidR="00C578E3" w:rsidRPr="005E1174">
        <w:rPr>
          <w:rFonts w:ascii="Times New Roman" w:hAnsi="Times New Roman" w:cs="Times New Roman"/>
          <w:sz w:val="28"/>
          <w:szCs w:val="28"/>
        </w:rPr>
        <w:t>и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самым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</w:rPr>
        <w:t>максимизируя</w:t>
      </w:r>
      <w:proofErr w:type="spellEnd"/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шансы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улучшение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578E3" w:rsidRPr="005E1174">
        <w:rPr>
          <w:rFonts w:ascii="Times New Roman" w:hAnsi="Times New Roman" w:cs="Times New Roman"/>
          <w:sz w:val="28"/>
          <w:szCs w:val="28"/>
        </w:rPr>
        <w:t>труда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[2]</w:t>
      </w:r>
      <w:r w:rsidR="00C578E3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005DF93D" w14:textId="2B7B8036" w:rsidR="003F1C5D" w:rsidRPr="005E1174" w:rsidRDefault="003F1C5D" w:rsidP="004254D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Целью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настоящего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всесторонний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D72E8" w:rsidRPr="005E1174">
        <w:rPr>
          <w:rFonts w:ascii="Times New Roman" w:hAnsi="Times New Roman" w:cs="Times New Roman"/>
          <w:sz w:val="28"/>
          <w:szCs w:val="28"/>
        </w:rPr>
        <w:t>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D72E8" w:rsidRPr="005E1174">
        <w:rPr>
          <w:rFonts w:ascii="Times New Roman" w:hAnsi="Times New Roman" w:cs="Times New Roman"/>
          <w:sz w:val="28"/>
          <w:szCs w:val="28"/>
        </w:rPr>
        <w:t>последние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D72E8" w:rsidRPr="005E1174">
        <w:rPr>
          <w:rFonts w:ascii="Times New Roman" w:hAnsi="Times New Roman" w:cs="Times New Roman"/>
          <w:sz w:val="28"/>
          <w:szCs w:val="28"/>
        </w:rPr>
        <w:t>10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D72E8" w:rsidRPr="005E1174">
        <w:rPr>
          <w:rFonts w:ascii="Times New Roman" w:hAnsi="Times New Roman" w:cs="Times New Roman"/>
          <w:sz w:val="28"/>
          <w:szCs w:val="28"/>
        </w:rPr>
        <w:t>лет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проведены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[3]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174">
        <w:rPr>
          <w:rFonts w:ascii="Times New Roman" w:hAnsi="Times New Roman" w:cs="Times New Roman"/>
          <w:sz w:val="28"/>
          <w:szCs w:val="28"/>
        </w:rPr>
        <w:t>Результаты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данного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могут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использованы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только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научными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исследователями,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заинтересованы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аспектах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lastRenderedPageBreak/>
        <w:t>строительстве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РФ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ключевыми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сторонами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(т.е.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руководителями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подрядчиками,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владельцами),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помочь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развить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глубокое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широкое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понимание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</w:t>
      </w:r>
      <w:r w:rsidR="00FC6B9A" w:rsidRPr="005E1174">
        <w:rPr>
          <w:rFonts w:ascii="Times New Roman" w:hAnsi="Times New Roman" w:cs="Times New Roman"/>
          <w:sz w:val="28"/>
          <w:szCs w:val="28"/>
        </w:rPr>
        <w:t>т</w:t>
      </w:r>
      <w:r w:rsidR="00596CEE" w:rsidRPr="005E1174">
        <w:rPr>
          <w:rFonts w:ascii="Times New Roman" w:hAnsi="Times New Roman" w:cs="Times New Roman"/>
          <w:sz w:val="28"/>
          <w:szCs w:val="28"/>
        </w:rPr>
        <w:t>ов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силы.</w:t>
      </w:r>
      <w:proofErr w:type="gramEnd"/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результате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чего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образуется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возможность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сосредоточиться,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воздействуя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аспекты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контролировать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улучшить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любого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с</w:t>
      </w:r>
      <w:r w:rsidRPr="005E1174">
        <w:rPr>
          <w:rFonts w:ascii="Times New Roman" w:hAnsi="Times New Roman" w:cs="Times New Roman"/>
          <w:sz w:val="28"/>
          <w:szCs w:val="28"/>
        </w:rPr>
        <w:t>троительного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максимизировать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прибыль.</w:t>
      </w:r>
    </w:p>
    <w:p w14:paraId="09DA11BE" w14:textId="597A5E6C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94318" w:rsidRPr="005E1174">
        <w:rPr>
          <w:rFonts w:ascii="Times New Roman" w:hAnsi="Times New Roman" w:cs="Times New Roman"/>
          <w:sz w:val="28"/>
          <w:szCs w:val="28"/>
        </w:rPr>
        <w:t>давно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«</w:t>
      </w:r>
      <w:r w:rsidRPr="005E1174">
        <w:rPr>
          <w:rFonts w:ascii="Times New Roman" w:hAnsi="Times New Roman" w:cs="Times New Roman"/>
          <w:sz w:val="28"/>
          <w:szCs w:val="28"/>
        </w:rPr>
        <w:t>обеспечение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побуждения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действовать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удовлетворения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потребностей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желаний</w:t>
      </w:r>
      <w:r w:rsidR="004254D9" w:rsidRPr="005E1174">
        <w:rPr>
          <w:rFonts w:ascii="Times New Roman" w:hAnsi="Times New Roman" w:cs="Times New Roman"/>
          <w:sz w:val="28"/>
          <w:szCs w:val="28"/>
        </w:rPr>
        <w:t>»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5E1174">
        <w:rPr>
          <w:rFonts w:ascii="Times New Roman" w:hAnsi="Times New Roman" w:cs="Times New Roman"/>
          <w:sz w:val="28"/>
          <w:szCs w:val="28"/>
        </w:rPr>
        <w:t>И</w:t>
      </w:r>
      <w:r w:rsidRPr="005E1174">
        <w:rPr>
          <w:rFonts w:ascii="Times New Roman" w:hAnsi="Times New Roman" w:cs="Times New Roman"/>
          <w:sz w:val="28"/>
          <w:szCs w:val="28"/>
        </w:rPr>
        <w:t>менно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положительный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заряд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создает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94318" w:rsidRPr="005E1174">
        <w:rPr>
          <w:rFonts w:ascii="Times New Roman" w:hAnsi="Times New Roman" w:cs="Times New Roman"/>
          <w:sz w:val="28"/>
          <w:szCs w:val="28"/>
        </w:rPr>
        <w:t>приток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побуждает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индивида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прилагать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достижению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целей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организации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удовлетворению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личных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потребностей</w:t>
      </w:r>
      <w:r w:rsidR="00835097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время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94318" w:rsidRPr="005E1174">
        <w:rPr>
          <w:rFonts w:ascii="Times New Roman" w:hAnsi="Times New Roman" w:cs="Times New Roman"/>
          <w:sz w:val="28"/>
          <w:szCs w:val="28"/>
        </w:rPr>
        <w:t>учеными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94318" w:rsidRPr="005E1174">
        <w:rPr>
          <w:rFonts w:ascii="Times New Roman" w:hAnsi="Times New Roman" w:cs="Times New Roman"/>
          <w:sz w:val="28"/>
          <w:szCs w:val="28"/>
        </w:rPr>
        <w:t>утверждается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неосязаема,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гипотетическая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конструкция,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используется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объяснения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человеческого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поведения.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Другая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точка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зрения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объясняет,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обычно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исходит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внутренних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внешних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мотивов.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Внешняя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отражает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взаимосвязь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между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деятельностью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некоторыми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отделимыми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последствиями,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такими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материальное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словесное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вознаграждение</w:t>
      </w:r>
      <w:r w:rsidR="00835097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С</w:t>
      </w:r>
      <w:r w:rsidRPr="005E1174">
        <w:rPr>
          <w:rFonts w:ascii="Times New Roman" w:hAnsi="Times New Roman" w:cs="Times New Roman"/>
          <w:sz w:val="28"/>
          <w:szCs w:val="28"/>
        </w:rPr>
        <w:t>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удовлетворение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приходит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самой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скорее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внешних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последствий,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деятельность.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Напротив,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внутренняя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отражает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людей,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выполняющих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какую-либо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деятельность,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находят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интересной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получают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спонтанное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удовлетворение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самой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деятельности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[4]</w:t>
      </w:r>
      <w:r w:rsidR="00794318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73A8A767" w14:textId="1703CD52" w:rsidR="003F1C5D" w:rsidRPr="005E1174" w:rsidRDefault="003F1C5D" w:rsidP="007C080A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протяжении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занимались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многочисленные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835097" w:rsidRPr="005E1174">
        <w:rPr>
          <w:rFonts w:ascii="Times New Roman" w:hAnsi="Times New Roman" w:cs="Times New Roman"/>
          <w:sz w:val="28"/>
          <w:szCs w:val="28"/>
        </w:rPr>
        <w:t>ученые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миру.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проведены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различные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труда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целью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оценки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рекомендации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секторе.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улучшить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эффективность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следует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аспекты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труда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соответствующим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образом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устранить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C578E3" w:rsidRPr="005E1174">
        <w:rPr>
          <w:rFonts w:ascii="Times New Roman" w:hAnsi="Times New Roman" w:cs="Times New Roman"/>
          <w:sz w:val="28"/>
          <w:szCs w:val="28"/>
        </w:rPr>
        <w:t>х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общей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автором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отобрано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данной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области</w:t>
      </w:r>
      <w:r w:rsidR="00353FF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рассмотрены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дальнейшего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анализа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[1-27]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После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компиляции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отобранных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данном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данные,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аспекты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даны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рекомендации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дальнейших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7F6D5330" w14:textId="116B18A0" w:rsidR="000B51F9" w:rsidRPr="0029799F" w:rsidRDefault="00353FFD" w:rsidP="000B51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правило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обычно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использ</w:t>
      </w:r>
      <w:r w:rsidRPr="005E1174">
        <w:rPr>
          <w:rFonts w:ascii="Times New Roman" w:hAnsi="Times New Roman" w:cs="Times New Roman"/>
          <w:sz w:val="28"/>
          <w:szCs w:val="28"/>
        </w:rPr>
        <w:t>уются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методы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эмпирического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выявления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оценки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</w:t>
      </w:r>
      <w:r w:rsidR="003F1C5D" w:rsidRPr="005E1174">
        <w:rPr>
          <w:rFonts w:ascii="Times New Roman" w:hAnsi="Times New Roman" w:cs="Times New Roman"/>
          <w:sz w:val="28"/>
          <w:szCs w:val="28"/>
        </w:rPr>
        <w:t>ричем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процедура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включает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следующие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шаги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процесс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объясняется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следующих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этапах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</w:t>
      </w:r>
      <w:r w:rsidR="00A41D8C" w:rsidRPr="0029799F">
        <w:rPr>
          <w:rFonts w:ascii="Times New Roman" w:hAnsi="Times New Roman" w:cs="Times New Roman"/>
          <w:sz w:val="28"/>
          <w:szCs w:val="28"/>
        </w:rPr>
        <w:t>5</w:t>
      </w:r>
      <w:r w:rsidR="00A41D8C" w:rsidRPr="00A41D8C">
        <w:rPr>
          <w:rFonts w:ascii="Times New Roman" w:hAnsi="Times New Roman" w:cs="Times New Roman"/>
          <w:sz w:val="28"/>
          <w:szCs w:val="28"/>
        </w:rPr>
        <w:t>]</w:t>
      </w:r>
      <w:r w:rsidR="00A41D8C">
        <w:rPr>
          <w:rFonts w:ascii="Times New Roman" w:hAnsi="Times New Roman" w:cs="Times New Roman"/>
          <w:sz w:val="28"/>
          <w:szCs w:val="28"/>
        </w:rPr>
        <w:t>:</w:t>
      </w:r>
    </w:p>
    <w:p w14:paraId="181F6680" w14:textId="6A282EDB" w:rsidR="003F1C5D" w:rsidRPr="005E1174" w:rsidRDefault="000B51F9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1: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с</w:t>
      </w:r>
      <w:r w:rsidR="003F1C5D" w:rsidRPr="005E1174">
        <w:rPr>
          <w:rFonts w:ascii="Times New Roman" w:hAnsi="Times New Roman" w:cs="Times New Roman"/>
          <w:sz w:val="28"/>
          <w:szCs w:val="28"/>
        </w:rPr>
        <w:t>писок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отрасли,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результате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всестороннего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обзора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ранее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опубликованных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связанных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данной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тематической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областью.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разделены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различные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группы,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такие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мотивирующие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C5D" w:rsidRPr="005E1174">
        <w:rPr>
          <w:rFonts w:ascii="Times New Roman" w:hAnsi="Times New Roman" w:cs="Times New Roman"/>
          <w:sz w:val="28"/>
          <w:szCs w:val="28"/>
        </w:rPr>
        <w:t>демотивирующие</w:t>
      </w:r>
      <w:proofErr w:type="spellEnd"/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ы.</w:t>
      </w:r>
    </w:p>
    <w:p w14:paraId="73DABD1E" w14:textId="2112510A" w:rsidR="003F1C5D" w:rsidRPr="005E1174" w:rsidRDefault="000B51F9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2: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Пилотное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После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перечислили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сгруппировали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разработан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опросный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лист.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Перед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опроса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требовалось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пилотное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проверить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анкету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убедиться,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информация,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предоставленная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респондентами,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соответствует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целям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Данный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завершен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путем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распространения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опроса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экспертов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многолетним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опытом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глубокими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знаниями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предмета.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оценили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достоверность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содержания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опроса</w:t>
      </w:r>
      <w:r w:rsidR="003F1C5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прокомментировали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удобочитаемость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лингвистики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добавили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дополнительные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сделать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опрос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полным.</w:t>
      </w:r>
    </w:p>
    <w:p w14:paraId="29961A64" w14:textId="65093954" w:rsidR="003F1C5D" w:rsidRPr="005E1174" w:rsidRDefault="000B51F9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3: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Сбор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сбора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необходимых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провели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настоящий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опрос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после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завершения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пилотного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тестирования.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структурированный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опрос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распространен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специалистов-строителей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(например,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руководителей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подрядчиков,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руководителей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площадок,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консультантов,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мастеров).</w:t>
      </w:r>
    </w:p>
    <w:p w14:paraId="7E7F36C8" w14:textId="6226546C" w:rsidR="003F1C5D" w:rsidRPr="005E1174" w:rsidRDefault="000B51F9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4: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собранные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проанализированы,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оценены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про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ранжированы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несколькими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методами,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такими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простая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пропорция</w:t>
      </w:r>
      <w:r w:rsidR="00EF1D12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балл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стандартное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отклонение,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анализ,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индекс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относительной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важности,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регрессионный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анализ,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моделирование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структурными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уравнениями,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динамическое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моделирование,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аналитический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иерархический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процесс</w:t>
      </w:r>
      <w:r w:rsidR="00EF1D12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19E54949" w14:textId="61128F82" w:rsidR="003F1C5D" w:rsidRPr="005E1174" w:rsidRDefault="000B51F9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Этап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5: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Заключение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критических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заключительном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этапе</w:t>
      </w:r>
      <w:r w:rsidR="00353FF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основе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результатов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анализа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предыдуще</w:t>
      </w:r>
      <w:r w:rsidR="00353FFD" w:rsidRPr="005E1174">
        <w:rPr>
          <w:rFonts w:ascii="Times New Roman" w:hAnsi="Times New Roman" w:cs="Times New Roman"/>
          <w:sz w:val="28"/>
          <w:szCs w:val="28"/>
        </w:rPr>
        <w:t>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этап</w:t>
      </w:r>
      <w:r w:rsidR="00353FFD" w:rsidRPr="005E1174">
        <w:rPr>
          <w:rFonts w:ascii="Times New Roman" w:hAnsi="Times New Roman" w:cs="Times New Roman"/>
          <w:sz w:val="28"/>
          <w:szCs w:val="28"/>
        </w:rPr>
        <w:t>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обнаружены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важные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lastRenderedPageBreak/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53FFD"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Также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проведены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обсуждения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ранжированию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внутри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каждой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группы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общему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рейтингу.</w:t>
      </w:r>
    </w:p>
    <w:p w14:paraId="11B6ABF8" w14:textId="20EC2F79" w:rsidR="003F1C5D" w:rsidRPr="005E1174" w:rsidRDefault="003F1C5D" w:rsidP="00B6662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Благодаря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всестороннему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отобранных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публикаций</w:t>
      </w:r>
      <w:r w:rsidR="00DD45C3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настоящем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представлены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таблице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B90C36" w:rsidRPr="005E1174">
        <w:rPr>
          <w:rFonts w:ascii="Times New Roman" w:hAnsi="Times New Roman" w:cs="Times New Roman"/>
          <w:sz w:val="28"/>
          <w:szCs w:val="28"/>
        </w:rPr>
        <w:t>1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процесс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метод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предметной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области,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отобранных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составляют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35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современной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(</w:t>
      </w:r>
      <w:r w:rsidR="00DD45C3" w:rsidRPr="005E1174">
        <w:rPr>
          <w:rFonts w:ascii="Times New Roman" w:hAnsi="Times New Roman" w:cs="Times New Roman"/>
          <w:sz w:val="28"/>
          <w:szCs w:val="28"/>
        </w:rPr>
        <w:t>при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DD45C3" w:rsidRPr="005E1174">
        <w:rPr>
          <w:rFonts w:ascii="Times New Roman" w:hAnsi="Times New Roman" w:cs="Times New Roman"/>
          <w:sz w:val="28"/>
          <w:szCs w:val="28"/>
        </w:rPr>
        <w:t>характеристике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</w:t>
      </w:r>
      <w:r w:rsidR="00DD45C3" w:rsidRPr="005E1174">
        <w:rPr>
          <w:rFonts w:ascii="Times New Roman" w:hAnsi="Times New Roman" w:cs="Times New Roman"/>
          <w:sz w:val="28"/>
          <w:szCs w:val="28"/>
        </w:rPr>
        <w:t>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крайней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мере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двух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2A5CA9" w:rsidRPr="005E1174">
        <w:rPr>
          <w:rFonts w:ascii="Times New Roman" w:hAnsi="Times New Roman" w:cs="Times New Roman"/>
          <w:sz w:val="28"/>
          <w:szCs w:val="28"/>
        </w:rPr>
        <w:t>проанализированных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публикациях</w:t>
      </w:r>
      <w:r w:rsidR="002A5CA9" w:rsidRPr="005E1174">
        <w:rPr>
          <w:rFonts w:ascii="Times New Roman" w:hAnsi="Times New Roman" w:cs="Times New Roman"/>
          <w:sz w:val="28"/>
          <w:szCs w:val="28"/>
        </w:rPr>
        <w:t>)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[1-27]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</w:p>
    <w:p w14:paraId="1EB56D83" w14:textId="7D274A68" w:rsidR="00F07107" w:rsidRPr="005E1174" w:rsidRDefault="00F07107" w:rsidP="00F0710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Количество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когда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автор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идентифицировал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суммируется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представлено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таблице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проведены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многочисленные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Утверждается,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набора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глобальных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критической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стратегией.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утверждение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обычно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завершается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вопросом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зависимости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разнообразного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набора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аспектов.</w:t>
      </w:r>
    </w:p>
    <w:p w14:paraId="0CF4622A" w14:textId="7D337192" w:rsidR="002A5CA9" w:rsidRPr="00A41D8C" w:rsidRDefault="002A5CA9" w:rsidP="002A5CA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Таблица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Мотивационные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аспекты,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влияющие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D6F80" w:rsidRPr="005E1174">
        <w:rPr>
          <w:rFonts w:ascii="Times New Roman" w:hAnsi="Times New Roman" w:cs="Times New Roman"/>
          <w:sz w:val="28"/>
          <w:szCs w:val="28"/>
        </w:rPr>
        <w:t>строительстве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[1-27]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CB79D7" w:rsidRPr="005E1174" w14:paraId="3B7872EA" w14:textId="77777777" w:rsidTr="00522F18">
        <w:trPr>
          <w:tblHeader/>
        </w:trPr>
        <w:tc>
          <w:tcPr>
            <w:tcW w:w="704" w:type="dxa"/>
            <w:vAlign w:val="center"/>
          </w:tcPr>
          <w:p w14:paraId="5A108C40" w14:textId="70D83985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174">
              <w:rPr>
                <w:rFonts w:ascii="Times New Roman" w:hAnsi="Times New Roman" w:cs="Times New Roman"/>
                <w:b/>
                <w:bCs/>
              </w:rPr>
              <w:t>№</w:t>
            </w:r>
            <w:r w:rsidR="0015231B" w:rsidRPr="005E11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17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25" w:type="dxa"/>
            <w:vAlign w:val="center"/>
          </w:tcPr>
          <w:p w14:paraId="47E16883" w14:textId="190BFC1C" w:rsidR="002A5CA9" w:rsidRPr="005E1174" w:rsidRDefault="002A5CA9" w:rsidP="009C0607">
            <w:pPr>
              <w:tabs>
                <w:tab w:val="left" w:pos="16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174">
              <w:rPr>
                <w:rFonts w:ascii="Times New Roman" w:hAnsi="Times New Roman" w:cs="Times New Roman"/>
                <w:b/>
                <w:bCs/>
              </w:rPr>
              <w:t>Мотивационный</w:t>
            </w:r>
            <w:r w:rsidR="0015231B" w:rsidRPr="005E11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1174">
              <w:rPr>
                <w:rFonts w:ascii="Times New Roman" w:hAnsi="Times New Roman" w:cs="Times New Roman"/>
                <w:b/>
                <w:bCs/>
              </w:rPr>
              <w:t>аспект</w:t>
            </w:r>
          </w:p>
        </w:tc>
        <w:tc>
          <w:tcPr>
            <w:tcW w:w="3115" w:type="dxa"/>
            <w:vAlign w:val="center"/>
          </w:tcPr>
          <w:p w14:paraId="2D734DB2" w14:textId="7A11AD99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17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CB79D7" w:rsidRPr="005E1174" w14:paraId="1DB42670" w14:textId="77777777" w:rsidTr="009C0607">
        <w:tc>
          <w:tcPr>
            <w:tcW w:w="704" w:type="dxa"/>
            <w:vAlign w:val="center"/>
          </w:tcPr>
          <w:p w14:paraId="7649FE84" w14:textId="097F9F8A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5" w:type="dxa"/>
          </w:tcPr>
          <w:p w14:paraId="0FB5FECC" w14:textId="50D27F7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Награды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464CE4" w:rsidRPr="005E1174">
              <w:rPr>
                <w:rFonts w:ascii="Times New Roman" w:hAnsi="Times New Roman" w:cs="Times New Roman"/>
              </w:rPr>
              <w:t>(знаки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464CE4" w:rsidRPr="005E1174">
              <w:rPr>
                <w:rFonts w:ascii="Times New Roman" w:hAnsi="Times New Roman" w:cs="Times New Roman"/>
              </w:rPr>
              <w:t>отличия</w:t>
            </w:r>
            <w:r w:rsidR="00055347" w:rsidRPr="005E1174">
              <w:rPr>
                <w:rFonts w:ascii="Times New Roman" w:hAnsi="Times New Roman" w:cs="Times New Roman"/>
              </w:rPr>
              <w:t>,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055347" w:rsidRPr="005E1174">
              <w:rPr>
                <w:rFonts w:ascii="Times New Roman" w:hAnsi="Times New Roman" w:cs="Times New Roman"/>
              </w:rPr>
              <w:t>вознаграждения</w:t>
            </w:r>
            <w:r w:rsidR="00464CE4" w:rsidRPr="005E11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5" w:type="dxa"/>
            <w:vAlign w:val="center"/>
          </w:tcPr>
          <w:p w14:paraId="53FCA0DD" w14:textId="280E7DC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21</w:t>
            </w:r>
          </w:p>
        </w:tc>
      </w:tr>
      <w:tr w:rsidR="00CB79D7" w:rsidRPr="005E1174" w14:paraId="6A66E01F" w14:textId="77777777" w:rsidTr="009C0607">
        <w:tc>
          <w:tcPr>
            <w:tcW w:w="704" w:type="dxa"/>
            <w:vAlign w:val="center"/>
          </w:tcPr>
          <w:p w14:paraId="5C11904D" w14:textId="3BB9A9E5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5" w:type="dxa"/>
          </w:tcPr>
          <w:p w14:paraId="28D9B5E9" w14:textId="35B00273" w:rsidR="002A5CA9" w:rsidRPr="005E1174" w:rsidRDefault="001A3C25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Благоприятные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B613A6" w:rsidRPr="005E1174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3115" w:type="dxa"/>
            <w:vAlign w:val="center"/>
          </w:tcPr>
          <w:p w14:paraId="4324809D" w14:textId="20741782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20</w:t>
            </w:r>
          </w:p>
        </w:tc>
      </w:tr>
      <w:tr w:rsidR="00CB79D7" w:rsidRPr="005E1174" w14:paraId="36E23ABD" w14:textId="77777777" w:rsidTr="009C0607">
        <w:tc>
          <w:tcPr>
            <w:tcW w:w="704" w:type="dxa"/>
            <w:vAlign w:val="center"/>
          </w:tcPr>
          <w:p w14:paraId="2C839BE2" w14:textId="0568CCE5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5" w:type="dxa"/>
          </w:tcPr>
          <w:p w14:paraId="50000751" w14:textId="11A55DB4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Возможност</w:t>
            </w:r>
            <w:r w:rsidR="00055347"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продвижения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по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службе</w:t>
            </w:r>
          </w:p>
        </w:tc>
        <w:tc>
          <w:tcPr>
            <w:tcW w:w="3115" w:type="dxa"/>
            <w:vAlign w:val="center"/>
          </w:tcPr>
          <w:p w14:paraId="2C258814" w14:textId="15C7D05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20</w:t>
            </w:r>
          </w:p>
        </w:tc>
      </w:tr>
      <w:tr w:rsidR="00CB79D7" w:rsidRPr="005E1174" w14:paraId="2656A688" w14:textId="77777777" w:rsidTr="009C0607">
        <w:tc>
          <w:tcPr>
            <w:tcW w:w="704" w:type="dxa"/>
            <w:vAlign w:val="center"/>
          </w:tcPr>
          <w:p w14:paraId="7CB5D073" w14:textId="4A9130F2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5" w:type="dxa"/>
          </w:tcPr>
          <w:p w14:paraId="660AB7D3" w14:textId="306AAE24" w:rsidR="002A5CA9" w:rsidRPr="005E1174" w:rsidRDefault="00BB2F3B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Г</w:t>
            </w:r>
            <w:r w:rsidR="00B613A6" w:rsidRPr="005E1174">
              <w:rPr>
                <w:rFonts w:ascii="Times New Roman" w:hAnsi="Times New Roman" w:cs="Times New Roman"/>
              </w:rPr>
              <w:t>арантия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B613A6" w:rsidRPr="005E1174">
              <w:rPr>
                <w:rFonts w:ascii="Times New Roman" w:hAnsi="Times New Roman" w:cs="Times New Roman"/>
              </w:rPr>
              <w:t>занятости</w:t>
            </w:r>
          </w:p>
        </w:tc>
        <w:tc>
          <w:tcPr>
            <w:tcW w:w="3115" w:type="dxa"/>
            <w:vAlign w:val="center"/>
          </w:tcPr>
          <w:p w14:paraId="443AFF08" w14:textId="7E15EBB5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17</w:t>
            </w:r>
          </w:p>
        </w:tc>
      </w:tr>
      <w:tr w:rsidR="00CB79D7" w:rsidRPr="005E1174" w14:paraId="07A54E77" w14:textId="77777777" w:rsidTr="009C0607">
        <w:tc>
          <w:tcPr>
            <w:tcW w:w="704" w:type="dxa"/>
            <w:vAlign w:val="center"/>
          </w:tcPr>
          <w:p w14:paraId="38580EE7" w14:textId="51090A71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5" w:type="dxa"/>
          </w:tcPr>
          <w:p w14:paraId="25407389" w14:textId="3A913755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Адекватный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надзор</w:t>
            </w:r>
          </w:p>
        </w:tc>
        <w:tc>
          <w:tcPr>
            <w:tcW w:w="3115" w:type="dxa"/>
            <w:vAlign w:val="center"/>
          </w:tcPr>
          <w:p w14:paraId="349D0A6A" w14:textId="3460F7EA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16</w:t>
            </w:r>
          </w:p>
        </w:tc>
      </w:tr>
      <w:tr w:rsidR="00CB79D7" w:rsidRPr="005E1174" w14:paraId="4DC40561" w14:textId="77777777" w:rsidTr="009C0607">
        <w:tc>
          <w:tcPr>
            <w:tcW w:w="704" w:type="dxa"/>
            <w:vAlign w:val="center"/>
          </w:tcPr>
          <w:p w14:paraId="39BCAA01" w14:textId="24FD298D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5" w:type="dxa"/>
          </w:tcPr>
          <w:p w14:paraId="15D2AB21" w14:textId="155D301B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Размер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заработной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платы</w:t>
            </w:r>
          </w:p>
        </w:tc>
        <w:tc>
          <w:tcPr>
            <w:tcW w:w="3115" w:type="dxa"/>
            <w:vAlign w:val="center"/>
          </w:tcPr>
          <w:p w14:paraId="4DFBBE65" w14:textId="14225D4C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15</w:t>
            </w:r>
          </w:p>
        </w:tc>
      </w:tr>
      <w:tr w:rsidR="00CB79D7" w:rsidRPr="005E1174" w14:paraId="4B4DB0CA" w14:textId="77777777" w:rsidTr="009C0607">
        <w:tc>
          <w:tcPr>
            <w:tcW w:w="704" w:type="dxa"/>
            <w:vAlign w:val="center"/>
          </w:tcPr>
          <w:p w14:paraId="4B41EF9F" w14:textId="085232E8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5" w:type="dxa"/>
          </w:tcPr>
          <w:p w14:paraId="3B928566" w14:textId="62EBDE3C" w:rsidR="002A5CA9" w:rsidRPr="005E1174" w:rsidRDefault="001A3C25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Комфортная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B613A6" w:rsidRPr="005E1174">
              <w:rPr>
                <w:rFonts w:ascii="Times New Roman" w:hAnsi="Times New Roman" w:cs="Times New Roman"/>
              </w:rPr>
              <w:t>рабочая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="00B613A6" w:rsidRPr="005E117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5" w:type="dxa"/>
            <w:vAlign w:val="center"/>
          </w:tcPr>
          <w:p w14:paraId="7F145D56" w14:textId="19BA0CC1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14</w:t>
            </w:r>
          </w:p>
        </w:tc>
      </w:tr>
      <w:tr w:rsidR="00CB79D7" w:rsidRPr="005E1174" w14:paraId="77286E73" w14:textId="77777777" w:rsidTr="009C0607">
        <w:tc>
          <w:tcPr>
            <w:tcW w:w="704" w:type="dxa"/>
            <w:vAlign w:val="center"/>
          </w:tcPr>
          <w:p w14:paraId="561D115F" w14:textId="0B26B0EE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5" w:type="dxa"/>
          </w:tcPr>
          <w:p w14:paraId="3430527D" w14:textId="259348A6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Программы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распознавания</w:t>
            </w:r>
          </w:p>
        </w:tc>
        <w:tc>
          <w:tcPr>
            <w:tcW w:w="3115" w:type="dxa"/>
            <w:vAlign w:val="center"/>
          </w:tcPr>
          <w:p w14:paraId="3CD94B3E" w14:textId="29A787A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13</w:t>
            </w:r>
          </w:p>
        </w:tc>
      </w:tr>
      <w:tr w:rsidR="00CB79D7" w:rsidRPr="005E1174" w14:paraId="20468578" w14:textId="77777777" w:rsidTr="009C0607">
        <w:tc>
          <w:tcPr>
            <w:tcW w:w="704" w:type="dxa"/>
            <w:vAlign w:val="center"/>
          </w:tcPr>
          <w:p w14:paraId="2BF12F05" w14:textId="4B6ABBA7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5" w:type="dxa"/>
          </w:tcPr>
          <w:p w14:paraId="5EA58CA9" w14:textId="08D0907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Участие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принятии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решений</w:t>
            </w:r>
          </w:p>
        </w:tc>
        <w:tc>
          <w:tcPr>
            <w:tcW w:w="3115" w:type="dxa"/>
            <w:vAlign w:val="center"/>
          </w:tcPr>
          <w:p w14:paraId="101211EE" w14:textId="18261510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11</w:t>
            </w:r>
          </w:p>
        </w:tc>
      </w:tr>
      <w:tr w:rsidR="00CB79D7" w:rsidRPr="005E1174" w14:paraId="452153B5" w14:textId="77777777" w:rsidTr="009C0607">
        <w:tc>
          <w:tcPr>
            <w:tcW w:w="704" w:type="dxa"/>
            <w:vAlign w:val="center"/>
          </w:tcPr>
          <w:p w14:paraId="4DF4E2B3" w14:textId="18D5E15A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5" w:type="dxa"/>
          </w:tcPr>
          <w:p w14:paraId="46A9C106" w14:textId="62E837FD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Своевременные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3115" w:type="dxa"/>
            <w:vAlign w:val="center"/>
          </w:tcPr>
          <w:p w14:paraId="795ECE68" w14:textId="6F33C22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11</w:t>
            </w:r>
          </w:p>
        </w:tc>
      </w:tr>
      <w:tr w:rsidR="00CB79D7" w:rsidRPr="005E1174" w14:paraId="2B3EB226" w14:textId="77777777" w:rsidTr="009C0607">
        <w:tc>
          <w:tcPr>
            <w:tcW w:w="704" w:type="dxa"/>
            <w:vAlign w:val="center"/>
          </w:tcPr>
          <w:p w14:paraId="404B9815" w14:textId="54AA0E67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5" w:type="dxa"/>
          </w:tcPr>
          <w:p w14:paraId="2F1626FC" w14:textId="2AF5B555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Удовлетворенность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работой</w:t>
            </w:r>
          </w:p>
        </w:tc>
        <w:tc>
          <w:tcPr>
            <w:tcW w:w="3115" w:type="dxa"/>
            <w:vAlign w:val="center"/>
          </w:tcPr>
          <w:p w14:paraId="7FE264B7" w14:textId="696A9672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10</w:t>
            </w:r>
          </w:p>
        </w:tc>
      </w:tr>
      <w:tr w:rsidR="00CB79D7" w:rsidRPr="005E1174" w14:paraId="3B3FBD56" w14:textId="77777777" w:rsidTr="009C0607">
        <w:tc>
          <w:tcPr>
            <w:tcW w:w="704" w:type="dxa"/>
            <w:vAlign w:val="center"/>
          </w:tcPr>
          <w:p w14:paraId="00DF2131" w14:textId="0D6CC292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5" w:type="dxa"/>
          </w:tcPr>
          <w:p w14:paraId="0B08FE8A" w14:textId="0D3D6F0B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Делегирование</w:t>
            </w:r>
          </w:p>
        </w:tc>
        <w:tc>
          <w:tcPr>
            <w:tcW w:w="3115" w:type="dxa"/>
            <w:vAlign w:val="center"/>
          </w:tcPr>
          <w:p w14:paraId="7319AE47" w14:textId="48F4A4B8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10</w:t>
            </w:r>
          </w:p>
        </w:tc>
      </w:tr>
      <w:tr w:rsidR="00CB79D7" w:rsidRPr="005E1174" w14:paraId="12A60179" w14:textId="77777777" w:rsidTr="009C0607">
        <w:tc>
          <w:tcPr>
            <w:tcW w:w="704" w:type="dxa"/>
            <w:vAlign w:val="center"/>
          </w:tcPr>
          <w:p w14:paraId="352B8E8C" w14:textId="3BFD85DB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25" w:type="dxa"/>
          </w:tcPr>
          <w:p w14:paraId="6308556B" w14:textId="78D2BFBF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Выполнение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сложных,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нестандартных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115" w:type="dxa"/>
            <w:vAlign w:val="center"/>
          </w:tcPr>
          <w:p w14:paraId="51C1CB6D" w14:textId="6C6011D7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9</w:t>
            </w:r>
          </w:p>
        </w:tc>
      </w:tr>
      <w:tr w:rsidR="00CB79D7" w:rsidRPr="005E1174" w14:paraId="3E477F78" w14:textId="77777777" w:rsidTr="009C0607">
        <w:tc>
          <w:tcPr>
            <w:tcW w:w="704" w:type="dxa"/>
            <w:vAlign w:val="center"/>
          </w:tcPr>
          <w:p w14:paraId="3650B803" w14:textId="75082E8C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25" w:type="dxa"/>
          </w:tcPr>
          <w:p w14:paraId="51B014AB" w14:textId="76419C66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Возможности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для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развития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навыков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3115" w:type="dxa"/>
            <w:vAlign w:val="center"/>
          </w:tcPr>
          <w:p w14:paraId="6B15CC32" w14:textId="3C994DA2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9</w:t>
            </w:r>
          </w:p>
        </w:tc>
      </w:tr>
      <w:tr w:rsidR="00CB79D7" w:rsidRPr="005E1174" w14:paraId="0D7B7624" w14:textId="77777777" w:rsidTr="009C0607">
        <w:tc>
          <w:tcPr>
            <w:tcW w:w="704" w:type="dxa"/>
            <w:vAlign w:val="center"/>
          </w:tcPr>
          <w:p w14:paraId="4717220C" w14:textId="07576269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25" w:type="dxa"/>
          </w:tcPr>
          <w:p w14:paraId="5D81F27C" w14:textId="54F42C6D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Оценка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обратная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115" w:type="dxa"/>
            <w:vAlign w:val="center"/>
          </w:tcPr>
          <w:p w14:paraId="5D407954" w14:textId="60440250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9</w:t>
            </w:r>
          </w:p>
        </w:tc>
      </w:tr>
      <w:tr w:rsidR="00CB79D7" w:rsidRPr="005E1174" w14:paraId="7793A162" w14:textId="77777777" w:rsidTr="009C0607">
        <w:tc>
          <w:tcPr>
            <w:tcW w:w="704" w:type="dxa"/>
            <w:vAlign w:val="center"/>
          </w:tcPr>
          <w:p w14:paraId="75761DA5" w14:textId="67069888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25" w:type="dxa"/>
          </w:tcPr>
          <w:p w14:paraId="4F5C294B" w14:textId="1967F0E2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Сверхурочная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115" w:type="dxa"/>
            <w:vAlign w:val="center"/>
          </w:tcPr>
          <w:p w14:paraId="1DA900E2" w14:textId="2C19955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8</w:t>
            </w:r>
          </w:p>
        </w:tc>
      </w:tr>
      <w:tr w:rsidR="00CB79D7" w:rsidRPr="005E1174" w14:paraId="5DEA6B98" w14:textId="77777777" w:rsidTr="009C0607">
        <w:tc>
          <w:tcPr>
            <w:tcW w:w="704" w:type="dxa"/>
            <w:vAlign w:val="center"/>
          </w:tcPr>
          <w:p w14:paraId="60BB8125" w14:textId="04354D73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25" w:type="dxa"/>
          </w:tcPr>
          <w:p w14:paraId="14564A60" w14:textId="63000B2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Свобода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действий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выполняемой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3115" w:type="dxa"/>
            <w:vAlign w:val="center"/>
          </w:tcPr>
          <w:p w14:paraId="4D7007DC" w14:textId="6C8257F5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7</w:t>
            </w:r>
          </w:p>
        </w:tc>
      </w:tr>
      <w:tr w:rsidR="00CB79D7" w:rsidRPr="005E1174" w14:paraId="0B69B541" w14:textId="77777777" w:rsidTr="009C0607">
        <w:tc>
          <w:tcPr>
            <w:tcW w:w="704" w:type="dxa"/>
            <w:vAlign w:val="center"/>
          </w:tcPr>
          <w:p w14:paraId="7A4311F4" w14:textId="5A4E31BF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25" w:type="dxa"/>
          </w:tcPr>
          <w:p w14:paraId="7A14C901" w14:textId="5E1183EF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Профессиональная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подготовка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/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3115" w:type="dxa"/>
            <w:vAlign w:val="center"/>
          </w:tcPr>
          <w:p w14:paraId="0A7025E0" w14:textId="5F7544CB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7</w:t>
            </w:r>
          </w:p>
        </w:tc>
      </w:tr>
      <w:tr w:rsidR="00CB79D7" w:rsidRPr="005E1174" w14:paraId="6DDDCE45" w14:textId="77777777" w:rsidTr="009C0607">
        <w:tc>
          <w:tcPr>
            <w:tcW w:w="704" w:type="dxa"/>
            <w:vAlign w:val="center"/>
          </w:tcPr>
          <w:p w14:paraId="5D08A097" w14:textId="2C7ADF7B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25" w:type="dxa"/>
          </w:tcPr>
          <w:p w14:paraId="2F05BA77" w14:textId="5B4BD998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Качество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инструментов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3115" w:type="dxa"/>
            <w:vAlign w:val="center"/>
          </w:tcPr>
          <w:p w14:paraId="09CF3981" w14:textId="30DD0414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6</w:t>
            </w:r>
          </w:p>
        </w:tc>
      </w:tr>
      <w:tr w:rsidR="00CB79D7" w:rsidRPr="005E1174" w14:paraId="2F860E89" w14:textId="77777777" w:rsidTr="009C0607">
        <w:tc>
          <w:tcPr>
            <w:tcW w:w="704" w:type="dxa"/>
            <w:vAlign w:val="center"/>
          </w:tcPr>
          <w:p w14:paraId="61EAE4FD" w14:textId="2D98B359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25" w:type="dxa"/>
          </w:tcPr>
          <w:p w14:paraId="0B5F9D4C" w14:textId="565E06F9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Командная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115" w:type="dxa"/>
            <w:vAlign w:val="center"/>
          </w:tcPr>
          <w:p w14:paraId="6E2228D9" w14:textId="29F22F0F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6</w:t>
            </w:r>
          </w:p>
        </w:tc>
      </w:tr>
      <w:tr w:rsidR="00CB79D7" w:rsidRPr="005E1174" w14:paraId="6BC348C2" w14:textId="77777777" w:rsidTr="009C0607">
        <w:tc>
          <w:tcPr>
            <w:tcW w:w="704" w:type="dxa"/>
            <w:vAlign w:val="center"/>
          </w:tcPr>
          <w:p w14:paraId="6180B5A0" w14:textId="305B20DD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525" w:type="dxa"/>
          </w:tcPr>
          <w:p w14:paraId="21C4B3D6" w14:textId="2412FEAB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Репутация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115" w:type="dxa"/>
            <w:vAlign w:val="center"/>
          </w:tcPr>
          <w:p w14:paraId="1233E420" w14:textId="4B042A57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6</w:t>
            </w:r>
          </w:p>
        </w:tc>
      </w:tr>
      <w:tr w:rsidR="00CB79D7" w:rsidRPr="005E1174" w14:paraId="267116EA" w14:textId="77777777" w:rsidTr="009C0607">
        <w:tc>
          <w:tcPr>
            <w:tcW w:w="704" w:type="dxa"/>
            <w:vAlign w:val="center"/>
          </w:tcPr>
          <w:p w14:paraId="7EC68400" w14:textId="16F66180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525" w:type="dxa"/>
          </w:tcPr>
          <w:p w14:paraId="20C2EB10" w14:textId="58035BFE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Удобства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для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3115" w:type="dxa"/>
            <w:vAlign w:val="center"/>
          </w:tcPr>
          <w:p w14:paraId="70C0906A" w14:textId="79D927EA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6</w:t>
            </w:r>
          </w:p>
        </w:tc>
      </w:tr>
      <w:tr w:rsidR="00CB79D7" w:rsidRPr="005E1174" w14:paraId="2927E5DE" w14:textId="77777777" w:rsidTr="009C0607">
        <w:tc>
          <w:tcPr>
            <w:tcW w:w="704" w:type="dxa"/>
            <w:vAlign w:val="center"/>
          </w:tcPr>
          <w:p w14:paraId="34CDD163" w14:textId="0544A1BC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25" w:type="dxa"/>
          </w:tcPr>
          <w:p w14:paraId="56E69935" w14:textId="42076BA9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Праздники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свободное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15" w:type="dxa"/>
            <w:vAlign w:val="center"/>
          </w:tcPr>
          <w:p w14:paraId="679062B7" w14:textId="1ADD33D2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5</w:t>
            </w:r>
          </w:p>
        </w:tc>
      </w:tr>
      <w:tr w:rsidR="00CB79D7" w:rsidRPr="005E1174" w14:paraId="7E2A6FE7" w14:textId="77777777" w:rsidTr="009C0607">
        <w:tc>
          <w:tcPr>
            <w:tcW w:w="704" w:type="dxa"/>
            <w:vAlign w:val="center"/>
          </w:tcPr>
          <w:p w14:paraId="12E490E6" w14:textId="11D5740F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525" w:type="dxa"/>
          </w:tcPr>
          <w:p w14:paraId="659779D4" w14:textId="4F9D642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Грамотное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управление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(менеджмент)</w:t>
            </w:r>
          </w:p>
        </w:tc>
        <w:tc>
          <w:tcPr>
            <w:tcW w:w="3115" w:type="dxa"/>
            <w:vAlign w:val="center"/>
          </w:tcPr>
          <w:p w14:paraId="7F29B5A5" w14:textId="3319C3D9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5</w:t>
            </w:r>
          </w:p>
        </w:tc>
      </w:tr>
      <w:tr w:rsidR="00CB79D7" w:rsidRPr="005E1174" w14:paraId="1738630A" w14:textId="77777777" w:rsidTr="009C0607">
        <w:tc>
          <w:tcPr>
            <w:tcW w:w="704" w:type="dxa"/>
            <w:vAlign w:val="center"/>
          </w:tcPr>
          <w:p w14:paraId="370343A6" w14:textId="54733B68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525" w:type="dxa"/>
          </w:tcPr>
          <w:p w14:paraId="134715DE" w14:textId="51143FDF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Статус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в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115" w:type="dxa"/>
            <w:vAlign w:val="center"/>
          </w:tcPr>
          <w:p w14:paraId="291EA1F8" w14:textId="7E7B3D6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4</w:t>
            </w:r>
          </w:p>
        </w:tc>
      </w:tr>
      <w:tr w:rsidR="00CB79D7" w:rsidRPr="005E1174" w14:paraId="7270DD90" w14:textId="77777777" w:rsidTr="009C0607">
        <w:tc>
          <w:tcPr>
            <w:tcW w:w="704" w:type="dxa"/>
            <w:vAlign w:val="center"/>
          </w:tcPr>
          <w:p w14:paraId="7A060E96" w14:textId="7D01D0D9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525" w:type="dxa"/>
          </w:tcPr>
          <w:p w14:paraId="556A8E98" w14:textId="43410E6E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Уважение,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получаемое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от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других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сотрудников</w:t>
            </w:r>
          </w:p>
        </w:tc>
        <w:tc>
          <w:tcPr>
            <w:tcW w:w="3115" w:type="dxa"/>
            <w:vAlign w:val="center"/>
          </w:tcPr>
          <w:p w14:paraId="73ED5207" w14:textId="58EEEBD6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</w:t>
            </w:r>
          </w:p>
        </w:tc>
      </w:tr>
      <w:tr w:rsidR="00CB79D7" w:rsidRPr="005E1174" w14:paraId="79B9CEA8" w14:textId="77777777" w:rsidTr="009C0607">
        <w:tc>
          <w:tcPr>
            <w:tcW w:w="704" w:type="dxa"/>
            <w:vAlign w:val="center"/>
          </w:tcPr>
          <w:p w14:paraId="6448F260" w14:textId="3796AF76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525" w:type="dxa"/>
          </w:tcPr>
          <w:p w14:paraId="5D873925" w14:textId="599D8B00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Шансы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достичь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профессионального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роста</w:t>
            </w:r>
          </w:p>
        </w:tc>
        <w:tc>
          <w:tcPr>
            <w:tcW w:w="3115" w:type="dxa"/>
            <w:vAlign w:val="center"/>
          </w:tcPr>
          <w:p w14:paraId="27A82C57" w14:textId="60DA47BB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</w:t>
            </w:r>
          </w:p>
        </w:tc>
      </w:tr>
      <w:tr w:rsidR="00CB79D7" w:rsidRPr="005E1174" w14:paraId="1038E6CC" w14:textId="77777777" w:rsidTr="009C0607">
        <w:tc>
          <w:tcPr>
            <w:tcW w:w="704" w:type="dxa"/>
            <w:vAlign w:val="center"/>
          </w:tcPr>
          <w:p w14:paraId="310AF9E5" w14:textId="6F07223A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525" w:type="dxa"/>
          </w:tcPr>
          <w:p w14:paraId="0D219EE9" w14:textId="7CE443B3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Процедуры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безопасности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объекте</w:t>
            </w:r>
          </w:p>
        </w:tc>
        <w:tc>
          <w:tcPr>
            <w:tcW w:w="3115" w:type="dxa"/>
            <w:vAlign w:val="center"/>
          </w:tcPr>
          <w:p w14:paraId="5DDA0684" w14:textId="30FECCB7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</w:t>
            </w:r>
          </w:p>
        </w:tc>
      </w:tr>
      <w:tr w:rsidR="00CB79D7" w:rsidRPr="005E1174" w14:paraId="23053D74" w14:textId="77777777" w:rsidTr="009C0607">
        <w:tc>
          <w:tcPr>
            <w:tcW w:w="704" w:type="dxa"/>
            <w:vAlign w:val="center"/>
          </w:tcPr>
          <w:p w14:paraId="1412E6B7" w14:textId="33EDD1E0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525" w:type="dxa"/>
          </w:tcPr>
          <w:p w14:paraId="3429A437" w14:textId="72A615B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Погодные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3115" w:type="dxa"/>
            <w:vAlign w:val="center"/>
          </w:tcPr>
          <w:p w14:paraId="3C8DB27D" w14:textId="3A006505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</w:t>
            </w:r>
          </w:p>
        </w:tc>
      </w:tr>
      <w:tr w:rsidR="00CB79D7" w:rsidRPr="005E1174" w14:paraId="1CB15165" w14:textId="77777777" w:rsidTr="009C0607">
        <w:tc>
          <w:tcPr>
            <w:tcW w:w="704" w:type="dxa"/>
            <w:vAlign w:val="center"/>
          </w:tcPr>
          <w:p w14:paraId="3CFB8118" w14:textId="13BBC136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525" w:type="dxa"/>
          </w:tcPr>
          <w:p w14:paraId="17943D94" w14:textId="57529A42" w:rsidR="002A5CA9" w:rsidRPr="005E1174" w:rsidRDefault="00BB2F3B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Местоположение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115" w:type="dxa"/>
            <w:vAlign w:val="center"/>
          </w:tcPr>
          <w:p w14:paraId="2D0B11A9" w14:textId="3C3030CE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</w:t>
            </w:r>
          </w:p>
        </w:tc>
      </w:tr>
      <w:tr w:rsidR="00CB79D7" w:rsidRPr="005E1174" w14:paraId="16B403CF" w14:textId="77777777" w:rsidTr="009C0607">
        <w:tc>
          <w:tcPr>
            <w:tcW w:w="704" w:type="dxa"/>
            <w:vAlign w:val="center"/>
          </w:tcPr>
          <w:p w14:paraId="5FC9D84A" w14:textId="632DA174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525" w:type="dxa"/>
          </w:tcPr>
          <w:p w14:paraId="5D7B7755" w14:textId="345494E2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Шансы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научиться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чему-то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новому</w:t>
            </w:r>
          </w:p>
        </w:tc>
        <w:tc>
          <w:tcPr>
            <w:tcW w:w="3115" w:type="dxa"/>
            <w:vAlign w:val="center"/>
          </w:tcPr>
          <w:p w14:paraId="649DD9A9" w14:textId="1FCD2D53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</w:t>
            </w:r>
          </w:p>
        </w:tc>
      </w:tr>
      <w:tr w:rsidR="00CB79D7" w:rsidRPr="005E1174" w14:paraId="28FA5FEB" w14:textId="77777777" w:rsidTr="009C0607">
        <w:tc>
          <w:tcPr>
            <w:tcW w:w="704" w:type="dxa"/>
            <w:vAlign w:val="center"/>
          </w:tcPr>
          <w:p w14:paraId="26E1F082" w14:textId="1DCBA494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525" w:type="dxa"/>
          </w:tcPr>
          <w:p w14:paraId="44D47375" w14:textId="0027CFDA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Руководство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и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поддержка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супервайзера</w:t>
            </w:r>
          </w:p>
        </w:tc>
        <w:tc>
          <w:tcPr>
            <w:tcW w:w="3115" w:type="dxa"/>
            <w:vAlign w:val="center"/>
          </w:tcPr>
          <w:p w14:paraId="255E2D3E" w14:textId="1D507E81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</w:t>
            </w:r>
          </w:p>
        </w:tc>
      </w:tr>
      <w:tr w:rsidR="00CB79D7" w:rsidRPr="005E1174" w14:paraId="106B1D44" w14:textId="77777777" w:rsidTr="009C0607">
        <w:tc>
          <w:tcPr>
            <w:tcW w:w="704" w:type="dxa"/>
            <w:vAlign w:val="center"/>
          </w:tcPr>
          <w:p w14:paraId="427A729C" w14:textId="633EFDA2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525" w:type="dxa"/>
          </w:tcPr>
          <w:p w14:paraId="6E8BA841" w14:textId="5DEA2349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Видеть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конечные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результаты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115" w:type="dxa"/>
            <w:vAlign w:val="center"/>
          </w:tcPr>
          <w:p w14:paraId="7EC2C0CB" w14:textId="3411DAEE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</w:t>
            </w:r>
          </w:p>
        </w:tc>
      </w:tr>
      <w:tr w:rsidR="00CB79D7" w:rsidRPr="005E1174" w14:paraId="3D6D1F82" w14:textId="77777777" w:rsidTr="009C0607">
        <w:tc>
          <w:tcPr>
            <w:tcW w:w="704" w:type="dxa"/>
            <w:vAlign w:val="center"/>
          </w:tcPr>
          <w:p w14:paraId="568F20C8" w14:textId="3C50CA32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525" w:type="dxa"/>
          </w:tcPr>
          <w:p w14:paraId="4BE96A54" w14:textId="332A9848" w:rsidR="002A5CA9" w:rsidRPr="005E1174" w:rsidRDefault="00B613A6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Финансовая</w:t>
            </w:r>
            <w:r w:rsidR="0015231B" w:rsidRPr="005E1174">
              <w:rPr>
                <w:rFonts w:ascii="Times New Roman" w:hAnsi="Times New Roman" w:cs="Times New Roman"/>
              </w:rPr>
              <w:t xml:space="preserve"> </w:t>
            </w:r>
            <w:r w:rsidRPr="005E1174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3115" w:type="dxa"/>
            <w:vAlign w:val="center"/>
          </w:tcPr>
          <w:p w14:paraId="54A0F1E7" w14:textId="2C089B8D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</w:t>
            </w:r>
          </w:p>
        </w:tc>
      </w:tr>
      <w:tr w:rsidR="00CB79D7" w:rsidRPr="005E1174" w14:paraId="283594DF" w14:textId="77777777" w:rsidTr="009C0607">
        <w:tc>
          <w:tcPr>
            <w:tcW w:w="704" w:type="dxa"/>
            <w:vAlign w:val="center"/>
          </w:tcPr>
          <w:p w14:paraId="0ACB95D1" w14:textId="3C459F1F" w:rsidR="002A5CA9" w:rsidRPr="005E1174" w:rsidRDefault="002A5CA9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525" w:type="dxa"/>
          </w:tcPr>
          <w:p w14:paraId="3F3F2235" w14:textId="22A4760D" w:rsidR="002A5CA9" w:rsidRPr="005E1174" w:rsidRDefault="00BB2F3B" w:rsidP="009C0607">
            <w:pPr>
              <w:jc w:val="both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Переработка</w:t>
            </w:r>
          </w:p>
        </w:tc>
        <w:tc>
          <w:tcPr>
            <w:tcW w:w="3115" w:type="dxa"/>
            <w:vAlign w:val="center"/>
          </w:tcPr>
          <w:p w14:paraId="74101654" w14:textId="614447D0" w:rsidR="002A5CA9" w:rsidRPr="005E1174" w:rsidRDefault="00464CE4" w:rsidP="009C0607">
            <w:pPr>
              <w:jc w:val="center"/>
              <w:rPr>
                <w:rFonts w:ascii="Times New Roman" w:hAnsi="Times New Roman" w:cs="Times New Roman"/>
              </w:rPr>
            </w:pPr>
            <w:r w:rsidRPr="005E1174">
              <w:rPr>
                <w:rFonts w:ascii="Times New Roman" w:hAnsi="Times New Roman" w:cs="Times New Roman"/>
              </w:rPr>
              <w:t>2</w:t>
            </w:r>
          </w:p>
        </w:tc>
      </w:tr>
    </w:tbl>
    <w:p w14:paraId="41594D37" w14:textId="64135136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результатов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таблице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1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видно,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несколько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главными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являются: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награды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(знаки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отличия,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вознаграждения),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благоприятные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отношения</w:t>
      </w:r>
      <w:r w:rsidR="00742D53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5E1174">
        <w:rPr>
          <w:rFonts w:ascii="Times New Roman" w:hAnsi="Times New Roman" w:cs="Times New Roman"/>
          <w:sz w:val="28"/>
          <w:szCs w:val="28"/>
        </w:rPr>
        <w:t>в</w:t>
      </w:r>
      <w:r w:rsidRPr="005E1174">
        <w:rPr>
          <w:rFonts w:ascii="Times New Roman" w:hAnsi="Times New Roman" w:cs="Times New Roman"/>
          <w:sz w:val="28"/>
          <w:szCs w:val="28"/>
        </w:rPr>
        <w:t>озможности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742D53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42D53" w:rsidRPr="005E1174">
        <w:rPr>
          <w:rFonts w:ascii="Times New Roman" w:hAnsi="Times New Roman" w:cs="Times New Roman"/>
          <w:sz w:val="28"/>
          <w:szCs w:val="28"/>
        </w:rPr>
        <w:t>г</w:t>
      </w:r>
      <w:r w:rsidRPr="005E1174">
        <w:rPr>
          <w:rFonts w:ascii="Times New Roman" w:hAnsi="Times New Roman" w:cs="Times New Roman"/>
          <w:sz w:val="28"/>
          <w:szCs w:val="28"/>
        </w:rPr>
        <w:t>арантия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</w:t>
      </w:r>
      <w:r w:rsidR="00742D53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42D53" w:rsidRPr="005E1174">
        <w:rPr>
          <w:rFonts w:ascii="Times New Roman" w:hAnsi="Times New Roman" w:cs="Times New Roman"/>
          <w:sz w:val="28"/>
          <w:szCs w:val="28"/>
        </w:rPr>
        <w:t>адекватный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</w:t>
      </w:r>
      <w:r w:rsidR="00014AE5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42D53" w:rsidRPr="005E1174">
        <w:rPr>
          <w:rFonts w:ascii="Times New Roman" w:hAnsi="Times New Roman" w:cs="Times New Roman"/>
          <w:sz w:val="28"/>
          <w:szCs w:val="28"/>
        </w:rPr>
        <w:t>р</w:t>
      </w:r>
      <w:r w:rsidRPr="005E1174">
        <w:rPr>
          <w:rFonts w:ascii="Times New Roman" w:hAnsi="Times New Roman" w:cs="Times New Roman"/>
          <w:sz w:val="28"/>
          <w:szCs w:val="28"/>
        </w:rPr>
        <w:t>азмер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комфортная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каждый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21;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20;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20;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17;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16;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15;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14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публикациях,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рассмотренных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данном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соответственно.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указывают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насколько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14AE5" w:rsidRPr="005E1174">
        <w:rPr>
          <w:rFonts w:ascii="Times New Roman" w:hAnsi="Times New Roman" w:cs="Times New Roman"/>
          <w:sz w:val="28"/>
          <w:szCs w:val="28"/>
        </w:rPr>
        <w:t>семь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оказывают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наибольшее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Рассмотрим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подробнее</w:t>
      </w:r>
      <w:r w:rsidR="00A41D8C" w:rsidRPr="0029799F">
        <w:rPr>
          <w:rFonts w:ascii="Times New Roman" w:hAnsi="Times New Roman" w:cs="Times New Roman"/>
          <w:sz w:val="28"/>
          <w:szCs w:val="28"/>
        </w:rPr>
        <w:t xml:space="preserve"> [1-27]</w:t>
      </w:r>
      <w:r w:rsidR="00C22BCE" w:rsidRPr="005E1174">
        <w:rPr>
          <w:rFonts w:ascii="Times New Roman" w:hAnsi="Times New Roman" w:cs="Times New Roman"/>
          <w:sz w:val="28"/>
          <w:szCs w:val="28"/>
        </w:rPr>
        <w:t>:</w:t>
      </w:r>
    </w:p>
    <w:p w14:paraId="5E36B955" w14:textId="68737511" w:rsidR="003F1C5D" w:rsidRPr="005E1174" w:rsidRDefault="00D05183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1.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Награды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(знаки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отличия,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вознаграждения)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вознаграждения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одним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22BCE" w:rsidRPr="005E1174">
        <w:rPr>
          <w:rFonts w:ascii="Times New Roman" w:hAnsi="Times New Roman" w:cs="Times New Roman"/>
          <w:sz w:val="28"/>
          <w:szCs w:val="28"/>
        </w:rPr>
        <w:t>отрасли,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поэтому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неудивительно,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21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публикаци</w:t>
      </w:r>
      <w:r w:rsidR="00116A98" w:rsidRPr="005E1174">
        <w:rPr>
          <w:rFonts w:ascii="Times New Roman" w:hAnsi="Times New Roman" w:cs="Times New Roman"/>
          <w:sz w:val="28"/>
          <w:szCs w:val="28"/>
        </w:rPr>
        <w:t>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определяющий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Вывод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показывает,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вознаграждение,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будучи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финансово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исключительным,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ключевым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который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повысил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силы,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дополнительно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подтверждено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результатами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предыдущих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исследований.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Таким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образом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можно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сделать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вывод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том,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менеджеры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должны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предоставлять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вознаграждения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признательности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своим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сотрудникам,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демонстрируя,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менеджеры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ценят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выполнение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задач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вклад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своих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сотрудников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общее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16A98" w:rsidRPr="005E1174">
        <w:rPr>
          <w:rFonts w:ascii="Times New Roman" w:hAnsi="Times New Roman" w:cs="Times New Roman"/>
          <w:sz w:val="28"/>
          <w:szCs w:val="28"/>
        </w:rPr>
        <w:t>дело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склонны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уделять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все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свое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внимание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своим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организациям,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лучшим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способом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повысить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производительность.</w:t>
      </w:r>
    </w:p>
    <w:p w14:paraId="4BD0F591" w14:textId="2F6D9101" w:rsidR="003F1C5D" w:rsidRPr="005E1174" w:rsidRDefault="00116A98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Благоприятные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отношения.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Благоприятная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которой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хорошие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между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коллегами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являются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ключевым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успеха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любой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задачи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исследователей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почему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благоприятных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отношений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20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публикациями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важнейший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Хорошее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общение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важно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бригад,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приводит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уровня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Однако,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напротив,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плохие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приведут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тому,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будут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выполнять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задачи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одиночку,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привести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конфликту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внутри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команды,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который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повлиять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трудовую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уровень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показало,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правило,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считается,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благоприятные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отношения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между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руководителями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рабочими-строителями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эффективность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обеспечивая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лучшую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среду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силы.</w:t>
      </w:r>
    </w:p>
    <w:p w14:paraId="0F85CD65" w14:textId="669AE5D0" w:rsidR="003F1C5D" w:rsidRPr="005E1174" w:rsidRDefault="00116A98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3.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Возможности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возможностей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определен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20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различных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статьях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мотивирующих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ах,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746C9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746C9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746C9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746C9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C746C9"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3F1C5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Очевидно,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карьерной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лестнице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организационную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справедливость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работой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любого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сотрудника.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Доказательства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соответствуют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результатам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предыдущих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котор</w:t>
      </w:r>
      <w:r w:rsidR="00C746C9" w:rsidRPr="005E1174">
        <w:rPr>
          <w:rFonts w:ascii="Times New Roman" w:hAnsi="Times New Roman" w:cs="Times New Roman"/>
          <w:sz w:val="28"/>
          <w:szCs w:val="28"/>
        </w:rPr>
        <w:t>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указано,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возможности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оказывают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большое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через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регулярные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промежутки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времени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стоит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оптимистичный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подход,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правило,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эффективно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работает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удовлетворения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психологических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потребностей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работников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месте.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Аналогичным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образом,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признание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инженерных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менеджеров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перспектива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связаны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развитием,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основанным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компетентности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сотрудников,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преимущественно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демонстриру</w:t>
      </w:r>
      <w:r w:rsidR="00344DD8" w:rsidRPr="005E1174">
        <w:rPr>
          <w:rFonts w:ascii="Times New Roman" w:hAnsi="Times New Roman" w:cs="Times New Roman"/>
          <w:sz w:val="28"/>
          <w:szCs w:val="28"/>
        </w:rPr>
        <w:t>е</w:t>
      </w:r>
      <w:r w:rsidR="003F1C5D" w:rsidRPr="005E1174">
        <w:rPr>
          <w:rFonts w:ascii="Times New Roman" w:hAnsi="Times New Roman" w:cs="Times New Roman"/>
          <w:sz w:val="28"/>
          <w:szCs w:val="28"/>
        </w:rPr>
        <w:t>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решимость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добиваться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высокой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мастера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площадках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будут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работать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продуктивно,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когда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поверят,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есть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возможности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службе.</w:t>
      </w:r>
    </w:p>
    <w:p w14:paraId="683EA28B" w14:textId="525E6D9A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4.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занимает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4-е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место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литературе,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различных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статьях.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Очевидно,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главным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влиятельным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инструментом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очень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сильно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избавляет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людей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психического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напряжения</w:t>
      </w:r>
      <w:r w:rsidR="00344DD8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следствие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отдают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lastRenderedPageBreak/>
        <w:t>свои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компаниям,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конечном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счете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приводит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максимизации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Р</w:t>
      </w:r>
      <w:r w:rsidRPr="005E1174">
        <w:rPr>
          <w:rFonts w:ascii="Times New Roman" w:hAnsi="Times New Roman" w:cs="Times New Roman"/>
          <w:sz w:val="28"/>
          <w:szCs w:val="28"/>
        </w:rPr>
        <w:t>аботая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организации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гарантированной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занятостью,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сотрудники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становятся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уверенными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будущей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карьере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прилагают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максимум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целей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компаний.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работники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чувствуют,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будут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получать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бонусы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вознаграждения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хорошую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обеспечена,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автоматически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будет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выше.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контексте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вывод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дополнительно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подтвержден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различными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показали,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20571" w14:textId="535C8BF7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5</w:t>
      </w:r>
      <w:r w:rsidR="00344DD8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44DD8" w:rsidRPr="005E1174">
        <w:rPr>
          <w:rFonts w:ascii="Times New Roman" w:hAnsi="Times New Roman" w:cs="Times New Roman"/>
          <w:sz w:val="28"/>
          <w:szCs w:val="28"/>
        </w:rPr>
        <w:t>Адекватный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16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различных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площадке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супервайзеры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инженеры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площадки,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функцией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контроль,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</w:rPr>
        <w:t>супервизорство</w:t>
      </w:r>
      <w:proofErr w:type="spellEnd"/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количество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меняется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зависимости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процентного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соотношения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площади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площадки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характеристикам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количество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контролируемых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зона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ответственности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каждого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руководителя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должны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оптимальном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уровне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максимальной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Некомпетентность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контролеров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проблемой,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работники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очень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обеспокоены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персоналом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вопросами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компетентности.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требования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работам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811F7" w:rsidRPr="005E1174">
        <w:rPr>
          <w:rFonts w:ascii="Times New Roman" w:hAnsi="Times New Roman" w:cs="Times New Roman"/>
          <w:sz w:val="28"/>
          <w:szCs w:val="28"/>
        </w:rPr>
        <w:t>–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супервайзеры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инспекторы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должны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давать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точные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ответы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быстрее,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напротив,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стоит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ждать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ответа,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поскольку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снизить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качество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работы</w:t>
      </w:r>
      <w:r w:rsidR="00014AE5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4BC6EF4D" w14:textId="2F5D3027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6</w:t>
      </w:r>
      <w:r w:rsidR="00490739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Размер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продемонстрировано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90739" w:rsidRPr="005E1174">
        <w:rPr>
          <w:rFonts w:ascii="Times New Roman" w:hAnsi="Times New Roman" w:cs="Times New Roman"/>
          <w:sz w:val="28"/>
          <w:szCs w:val="28"/>
        </w:rPr>
        <w:t>множестве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C6D7D" w:rsidRPr="005E1174">
        <w:rPr>
          <w:rFonts w:ascii="Times New Roman" w:hAnsi="Times New Roman" w:cs="Times New Roman"/>
          <w:sz w:val="28"/>
          <w:szCs w:val="28"/>
        </w:rPr>
        <w:t>исследований,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90739" w:rsidRPr="005E1174">
        <w:rPr>
          <w:rFonts w:ascii="Times New Roman" w:hAnsi="Times New Roman" w:cs="Times New Roman"/>
          <w:sz w:val="28"/>
          <w:szCs w:val="28"/>
        </w:rPr>
        <w:t>посвященных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90739" w:rsidRPr="005E1174">
        <w:rPr>
          <w:rFonts w:ascii="Times New Roman" w:hAnsi="Times New Roman" w:cs="Times New Roman"/>
          <w:sz w:val="28"/>
          <w:szCs w:val="28"/>
        </w:rPr>
        <w:t>мотивации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90739" w:rsidRPr="005E1174">
        <w:rPr>
          <w:rFonts w:ascii="Times New Roman" w:hAnsi="Times New Roman" w:cs="Times New Roman"/>
          <w:sz w:val="28"/>
          <w:szCs w:val="28"/>
        </w:rPr>
        <w:t>персонала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вознаграждение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единственным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мотивирующим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деньги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важнейшей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базовой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потребностью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любого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человека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обеспечения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жизни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процветания.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Величина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15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секторе.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Многочисленные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заявляли,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размер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вознаграждения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рассматривается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критический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стимулирующий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E1F3C" w:rsidRPr="005E1174">
        <w:rPr>
          <w:rFonts w:ascii="Times New Roman" w:hAnsi="Times New Roman" w:cs="Times New Roman"/>
          <w:sz w:val="28"/>
          <w:szCs w:val="28"/>
        </w:rPr>
        <w:t>Часто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рабочие-строители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сталкиваются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проблемами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низкого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дохода,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поэтому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соответствующий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уровень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жизненно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ом,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побуждающим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Вознаграждение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мощной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мотивацией,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E1F3C"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7E1F3C" w:rsidRPr="005E1174">
        <w:rPr>
          <w:rFonts w:ascii="Times New Roman" w:hAnsi="Times New Roman" w:cs="Times New Roman"/>
          <w:sz w:val="28"/>
          <w:szCs w:val="28"/>
        </w:rPr>
        <w:lastRenderedPageBreak/>
        <w:t>следствие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низкая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всегда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есть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</w:rPr>
        <w:t>демотивирующей</w:t>
      </w:r>
      <w:proofErr w:type="spellEnd"/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</w:t>
      </w:r>
      <w:r w:rsidR="009A5CA8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П</w:t>
      </w:r>
      <w:r w:rsidRPr="005E1174">
        <w:rPr>
          <w:rFonts w:ascii="Times New Roman" w:hAnsi="Times New Roman" w:cs="Times New Roman"/>
          <w:sz w:val="28"/>
          <w:szCs w:val="28"/>
        </w:rPr>
        <w:t>оэтому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без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достаточных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доходов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маловероятно,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будут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хорошо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выполнять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работу.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своевременная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выплата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также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важным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любого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трудового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контракта,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время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наличие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достаточных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возможностей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улучшение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условий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многих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случаях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приводят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снижению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демотивации,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вызванной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низким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доходом</w:t>
      </w:r>
      <w:r w:rsidR="009A5CA8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При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A5CA8" w:rsidRPr="005E1174">
        <w:rPr>
          <w:rFonts w:ascii="Times New Roman" w:hAnsi="Times New Roman" w:cs="Times New Roman"/>
          <w:sz w:val="28"/>
          <w:szCs w:val="28"/>
        </w:rPr>
        <w:t>этом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отсрочка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платежа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делает.</w:t>
      </w:r>
    </w:p>
    <w:p w14:paraId="68A5D1C1" w14:textId="62FB80AB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7</w:t>
      </w:r>
      <w:r w:rsidR="005C6D7D"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Комфортная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Хороший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климат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достаточными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условиями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индивидуальной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приверженности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работников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организации,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заставить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людей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прилагать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конечно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повысить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1A3C25" w:rsidRPr="005E1174">
        <w:rPr>
          <w:rFonts w:ascii="Times New Roman" w:hAnsi="Times New Roman" w:cs="Times New Roman"/>
          <w:sz w:val="28"/>
          <w:szCs w:val="28"/>
        </w:rPr>
        <w:t>комфортной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14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81D3D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связи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следует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подходить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точки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зрения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содержания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контекста.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частности,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содержание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включает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себя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различные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связанные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виды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деятельности,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необходимый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опыт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практические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навыки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предоставляемые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сложные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задачи,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время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контекстуальные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включают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климат,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материальные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ресурсы,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инспекцию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практику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компенсации.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Работодатели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должны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воспринимать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силу,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озабочена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контекстуальными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аспектами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мотивирована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элементами,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улучшающими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компаниях.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Кроме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плохих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условиях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приведет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только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отрицательным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результатам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из-за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того,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требуют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физических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умственных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усилий,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поэтому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должна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работать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хороших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условиях,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повысить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свою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5078D4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0B63FE57" w14:textId="35866587" w:rsidR="003F1C5D" w:rsidRPr="005E1174" w:rsidRDefault="008E3E43" w:rsidP="00C578E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Таким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образом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текущем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были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рассмотрены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последствия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многочисленных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отрасли.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результате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автор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выявил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некоторые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пробелы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знаниях,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касающиеся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направленных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повышение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силы,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обеспечивает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прочную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платформу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дальнейших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исследований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зависимости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обстоятельств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частота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важность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="003F1C5D" w:rsidRPr="005E1174">
        <w:rPr>
          <w:rFonts w:ascii="Times New Roman" w:hAnsi="Times New Roman" w:cs="Times New Roman"/>
          <w:sz w:val="28"/>
          <w:szCs w:val="28"/>
        </w:rPr>
        <w:t>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варьируются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проекту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даже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рамках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одного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того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же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3F1C5D" w:rsidRPr="005E1174">
        <w:rPr>
          <w:rFonts w:ascii="Times New Roman" w:hAnsi="Times New Roman" w:cs="Times New Roman"/>
          <w:sz w:val="28"/>
          <w:szCs w:val="28"/>
        </w:rPr>
        <w:t>проекта</w:t>
      </w:r>
      <w:r w:rsidR="00C578E3" w:rsidRPr="005E1174">
        <w:rPr>
          <w:rFonts w:ascii="Times New Roman" w:hAnsi="Times New Roman" w:cs="Times New Roman"/>
          <w:sz w:val="28"/>
          <w:szCs w:val="28"/>
        </w:rPr>
        <w:t>.</w:t>
      </w:r>
    </w:p>
    <w:p w14:paraId="1620FD8A" w14:textId="08928B22" w:rsidR="003F1C5D" w:rsidRPr="005E1174" w:rsidRDefault="003F1C5D" w:rsidP="002D605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lastRenderedPageBreak/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является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катализатор</w:t>
      </w:r>
      <w:r w:rsidR="00E71FE6" w:rsidRPr="005E1174">
        <w:rPr>
          <w:rFonts w:ascii="Times New Roman" w:hAnsi="Times New Roman" w:cs="Times New Roman"/>
          <w:sz w:val="28"/>
          <w:szCs w:val="28"/>
        </w:rPr>
        <w:t>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позволяющи</w:t>
      </w:r>
      <w:r w:rsidR="00E71FE6" w:rsidRPr="005E1174">
        <w:rPr>
          <w:rFonts w:ascii="Times New Roman" w:hAnsi="Times New Roman" w:cs="Times New Roman"/>
          <w:sz w:val="28"/>
          <w:szCs w:val="28"/>
        </w:rPr>
        <w:t>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выполнять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задачи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намного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лучше,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они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обычно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исполняются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может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привести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проектах.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проанализирова</w:t>
      </w:r>
      <w:r w:rsidR="00E71FE6" w:rsidRPr="005E1174">
        <w:rPr>
          <w:rFonts w:ascii="Times New Roman" w:hAnsi="Times New Roman" w:cs="Times New Roman"/>
          <w:sz w:val="28"/>
          <w:szCs w:val="28"/>
        </w:rPr>
        <w:t>ны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результаты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предыдущих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изучения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всестороннего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литературы</w:t>
      </w:r>
      <w:r w:rsidR="00A41D8C" w:rsidRPr="00A41D8C">
        <w:rPr>
          <w:rFonts w:ascii="Times New Roman" w:hAnsi="Times New Roman" w:cs="Times New Roman"/>
          <w:sz w:val="28"/>
          <w:szCs w:val="28"/>
        </w:rPr>
        <w:t xml:space="preserve"> [1-27]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Р</w:t>
      </w:r>
      <w:r w:rsidRPr="005E1174">
        <w:rPr>
          <w:rFonts w:ascii="Times New Roman" w:hAnsi="Times New Roman" w:cs="Times New Roman"/>
          <w:sz w:val="28"/>
          <w:szCs w:val="28"/>
        </w:rPr>
        <w:t>езультаты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показали,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большинство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подобных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помимо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РФ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проведено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азиатских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странах,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следуют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Европа,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Африка,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Америка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Австралия.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Данное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показало,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почти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всех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последнего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E71FE6" w:rsidRPr="005E1174">
        <w:rPr>
          <w:rFonts w:ascii="Times New Roman" w:hAnsi="Times New Roman" w:cs="Times New Roman"/>
          <w:sz w:val="28"/>
          <w:szCs w:val="28"/>
        </w:rPr>
        <w:t>десятилетия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использовались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методы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эмпирического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выявления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оценки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причем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преобладающая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процедура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включает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себя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5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этапов: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определение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основе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существующей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литературы</w:t>
      </w:r>
      <w:r w:rsidR="00E71FE6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пилотное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исследование</w:t>
      </w:r>
      <w:r w:rsidR="00E71FE6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сбор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E71FE6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заключение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критических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ах.</w:t>
      </w:r>
    </w:p>
    <w:p w14:paraId="6976D9DD" w14:textId="278DC786" w:rsidR="003F1C5D" w:rsidRPr="005E1174" w:rsidRDefault="003F1C5D" w:rsidP="00C578E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Используя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анализ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27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публикаций,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связанных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Было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обнаружено,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строительном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секторе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влияет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множество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критических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главными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мотивационными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ами,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которые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оказывают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наибольшее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отрасли,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являются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награды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(знаки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отличия,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вознаграждения),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53814" w:rsidRPr="005E1174">
        <w:rPr>
          <w:rFonts w:ascii="Times New Roman" w:hAnsi="Times New Roman" w:cs="Times New Roman"/>
          <w:sz w:val="28"/>
          <w:szCs w:val="28"/>
        </w:rPr>
        <w:t>благоприятные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отношения</w:t>
      </w:r>
      <w:r w:rsidR="000A28D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возможности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продвижения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службе</w:t>
      </w:r>
      <w:r w:rsidR="000A28D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гарантия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занятости</w:t>
      </w:r>
      <w:r w:rsidR="000A28D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0A28DD" w:rsidRPr="005E1174">
        <w:rPr>
          <w:rFonts w:ascii="Times New Roman" w:hAnsi="Times New Roman" w:cs="Times New Roman"/>
          <w:sz w:val="28"/>
          <w:szCs w:val="28"/>
        </w:rPr>
        <w:t>адекватный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надзор</w:t>
      </w:r>
      <w:r w:rsidR="000A28DD"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размер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заработной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453814" w:rsidRPr="005E1174">
        <w:rPr>
          <w:rFonts w:ascii="Times New Roman" w:hAnsi="Times New Roman" w:cs="Times New Roman"/>
          <w:sz w:val="28"/>
          <w:szCs w:val="28"/>
        </w:rPr>
        <w:t>комфортная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рабочая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среда.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Поэтому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рекомендуется,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чтобы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инженеры-менеджеры,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руководители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проектов,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работодатели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сосредоточили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внимание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наиболее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влиятельных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ах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обеспечения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эффективного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управления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повышения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рабочей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силы.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Это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исследование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предоставило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общий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обзор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развития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мотивационных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596CEE" w:rsidRPr="005E1174">
        <w:rPr>
          <w:rFonts w:ascii="Times New Roman" w:hAnsi="Times New Roman" w:cs="Times New Roman"/>
          <w:sz w:val="28"/>
          <w:szCs w:val="28"/>
        </w:rPr>
        <w:t>аспект</w:t>
      </w:r>
      <w:r w:rsidRPr="005E1174">
        <w:rPr>
          <w:rFonts w:ascii="Times New Roman" w:hAnsi="Times New Roman" w:cs="Times New Roman"/>
          <w:sz w:val="28"/>
          <w:szCs w:val="28"/>
        </w:rPr>
        <w:t>ов,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влияющих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на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5E1174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5E1174">
        <w:rPr>
          <w:rFonts w:ascii="Times New Roman" w:hAnsi="Times New Roman" w:cs="Times New Roman"/>
          <w:sz w:val="28"/>
          <w:szCs w:val="28"/>
        </w:rPr>
        <w:t>труда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5E1174">
        <w:rPr>
          <w:rFonts w:ascii="Times New Roman" w:hAnsi="Times New Roman" w:cs="Times New Roman"/>
          <w:sz w:val="28"/>
          <w:szCs w:val="28"/>
        </w:rPr>
        <w:t>в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5E1174">
        <w:rPr>
          <w:rFonts w:ascii="Times New Roman" w:hAnsi="Times New Roman" w:cs="Times New Roman"/>
          <w:sz w:val="28"/>
          <w:szCs w:val="28"/>
        </w:rPr>
        <w:t>строительной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="00947683" w:rsidRPr="005E1174">
        <w:rPr>
          <w:rFonts w:ascii="Times New Roman" w:hAnsi="Times New Roman" w:cs="Times New Roman"/>
          <w:sz w:val="28"/>
          <w:szCs w:val="28"/>
        </w:rPr>
        <w:t>отрасли</w:t>
      </w:r>
      <w:r w:rsidRPr="005E1174">
        <w:rPr>
          <w:rFonts w:ascii="Times New Roman" w:hAnsi="Times New Roman" w:cs="Times New Roman"/>
          <w:sz w:val="28"/>
          <w:szCs w:val="28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следовательно,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сформировало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прочную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платформу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дальнейших</w:t>
      </w:r>
      <w:r w:rsidR="0015231B"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108B97AF" w14:textId="77777777" w:rsidR="00436244" w:rsidRPr="005E1174" w:rsidRDefault="00436244" w:rsidP="00C578E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7D4B6" w14:textId="274D8B75" w:rsidR="00436244" w:rsidRDefault="00436244" w:rsidP="00C578E3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174">
        <w:rPr>
          <w:rFonts w:ascii="Times New Roman" w:hAnsi="Times New Roman" w:cs="Times New Roman"/>
          <w:b/>
          <w:bCs/>
          <w:sz w:val="28"/>
          <w:szCs w:val="28"/>
        </w:rPr>
        <w:t>Библиографический</w:t>
      </w:r>
      <w:r w:rsidR="0015231B" w:rsidRPr="005E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b/>
          <w:bCs/>
          <w:sz w:val="28"/>
          <w:szCs w:val="28"/>
        </w:rPr>
        <w:t>список:</w:t>
      </w:r>
    </w:p>
    <w:p w14:paraId="64EBD7FA" w14:textId="56B6614F" w:rsidR="00A41D8C" w:rsidRPr="0029799F" w:rsidRDefault="00A41D8C" w:rsidP="00A41D8C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74">
        <w:rPr>
          <w:rFonts w:ascii="Times New Roman" w:hAnsi="Times New Roman" w:cs="Times New Roman"/>
          <w:sz w:val="28"/>
          <w:szCs w:val="28"/>
        </w:rPr>
        <w:t>П</w:t>
      </w:r>
      <w:r w:rsidRPr="0029799F">
        <w:rPr>
          <w:rFonts w:ascii="Times New Roman" w:hAnsi="Times New Roman" w:cs="Times New Roman"/>
          <w:sz w:val="28"/>
          <w:szCs w:val="28"/>
        </w:rPr>
        <w:t xml:space="preserve">авлов, А. С. Экономика строительства в 2 ч. Часть 2: учебник и практикум для вузов / А. С. Павлов. – 2-е изд.,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. и доп. – Москва: Издательство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2023. – 416 с. – (Высшее образование).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9799F">
        <w:rPr>
          <w:rFonts w:ascii="Times New Roman" w:hAnsi="Times New Roman" w:cs="Times New Roman"/>
          <w:sz w:val="28"/>
          <w:szCs w:val="28"/>
        </w:rPr>
        <w:t xml:space="preserve"> 978-5-</w:t>
      </w:r>
      <w:r w:rsidRPr="0029799F">
        <w:rPr>
          <w:rFonts w:ascii="Times New Roman" w:hAnsi="Times New Roman" w:cs="Times New Roman"/>
          <w:sz w:val="28"/>
          <w:szCs w:val="28"/>
        </w:rPr>
        <w:lastRenderedPageBreak/>
        <w:t xml:space="preserve">534-14028-6. – Текст: электронный // Образовательная платформа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 [сайт].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799F">
        <w:rPr>
          <w:rFonts w:ascii="Times New Roman" w:hAnsi="Times New Roman" w:cs="Times New Roman"/>
          <w:sz w:val="28"/>
          <w:szCs w:val="28"/>
        </w:rPr>
        <w:t>:</w:t>
      </w:r>
      <w:r w:rsidRPr="0029799F">
        <w:t xml:space="preserve"> </w:t>
      </w:r>
      <w:hyperlink r:id="rId6" w:tgtFrame="_blank" w:history="1">
        <w:r w:rsidRPr="00A41D8C">
          <w:rPr>
            <w:lang w:val="en-US"/>
          </w:rPr>
          <w:t>https</w:t>
        </w:r>
        <w:r w:rsidRPr="0029799F">
          <w:t>://</w:t>
        </w:r>
        <w:proofErr w:type="spellStart"/>
        <w:r w:rsidRPr="00A41D8C">
          <w:rPr>
            <w:lang w:val="en-US"/>
          </w:rPr>
          <w:t>urait</w:t>
        </w:r>
        <w:proofErr w:type="spellEnd"/>
        <w:r w:rsidRPr="0029799F">
          <w:t>.</w:t>
        </w:r>
        <w:proofErr w:type="spellStart"/>
        <w:r w:rsidRPr="00A41D8C">
          <w:rPr>
            <w:lang w:val="en-US"/>
          </w:rPr>
          <w:t>ru</w:t>
        </w:r>
        <w:proofErr w:type="spellEnd"/>
        <w:r w:rsidRPr="0029799F">
          <w:t>/</w:t>
        </w:r>
        <w:proofErr w:type="spellStart"/>
        <w:r w:rsidRPr="00A41D8C">
          <w:rPr>
            <w:lang w:val="en-US"/>
          </w:rPr>
          <w:t>bcode</w:t>
        </w:r>
        <w:proofErr w:type="spellEnd"/>
        <w:r w:rsidRPr="0029799F">
          <w:t>/512455</w:t>
        </w:r>
      </w:hyperlink>
      <w:r w:rsidRPr="0029799F">
        <w:t xml:space="preserve"> </w:t>
      </w:r>
      <w:r w:rsidRPr="0029799F">
        <w:rPr>
          <w:rFonts w:ascii="Times New Roman" w:hAnsi="Times New Roman" w:cs="Times New Roman"/>
          <w:sz w:val="28"/>
          <w:szCs w:val="28"/>
        </w:rPr>
        <w:t>(дата обращения: 27.02.2023).</w:t>
      </w:r>
    </w:p>
    <w:p w14:paraId="2DBFF82E" w14:textId="307F705E" w:rsidR="00A41D8C" w:rsidRPr="0029799F" w:rsidRDefault="00A41D8C" w:rsidP="00A41D8C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Соломанидина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>, Т. О.</w:t>
      </w:r>
      <w:r w:rsidRPr="0029799F">
        <w:t xml:space="preserve"> </w:t>
      </w:r>
      <w:r w:rsidRPr="0029799F">
        <w:rPr>
          <w:rFonts w:ascii="Times New Roman" w:hAnsi="Times New Roman" w:cs="Times New Roman"/>
          <w:sz w:val="28"/>
          <w:szCs w:val="28"/>
        </w:rPr>
        <w:t xml:space="preserve">Мотивация и стимулирование трудовой деятельности: учебник и практикум для вузов / Т. О.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Соломанидина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Соломанидин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. и доп. – Москва: Издательство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2023. – 323 с. – (Высшее образование).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9799F">
        <w:rPr>
          <w:rFonts w:ascii="Times New Roman" w:hAnsi="Times New Roman" w:cs="Times New Roman"/>
          <w:sz w:val="28"/>
          <w:szCs w:val="28"/>
        </w:rPr>
        <w:t xml:space="preserve"> 978-5-534-01100-5. – Текст: электронный // Образовательная платформа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 [сайт].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799F">
        <w:rPr>
          <w:rFonts w:ascii="Times New Roman" w:hAnsi="Times New Roman" w:cs="Times New Roman"/>
          <w:sz w:val="28"/>
          <w:szCs w:val="28"/>
        </w:rPr>
        <w:t>:</w:t>
      </w:r>
      <w:r w:rsidRPr="0029799F">
        <w:t xml:space="preserve"> </w:t>
      </w:r>
      <w:hyperlink r:id="rId7" w:tgtFrame="_blank" w:history="1">
        <w:r w:rsidRPr="00A41D8C">
          <w:rPr>
            <w:lang w:val="en-US"/>
          </w:rPr>
          <w:t>https</w:t>
        </w:r>
        <w:r w:rsidRPr="0029799F">
          <w:t>://</w:t>
        </w:r>
        <w:r w:rsidRPr="00A41D8C">
          <w:rPr>
            <w:lang w:val="en-US"/>
          </w:rPr>
          <w:t>urait</w:t>
        </w:r>
        <w:r w:rsidRPr="0029799F">
          <w:t>.</w:t>
        </w:r>
        <w:r w:rsidRPr="00A41D8C">
          <w:rPr>
            <w:lang w:val="en-US"/>
          </w:rPr>
          <w:t>ru</w:t>
        </w:r>
        <w:r w:rsidRPr="0029799F">
          <w:t>/</w:t>
        </w:r>
        <w:r w:rsidRPr="00A41D8C">
          <w:rPr>
            <w:lang w:val="en-US"/>
          </w:rPr>
          <w:t>bcode</w:t>
        </w:r>
        <w:r w:rsidRPr="0029799F">
          <w:t>/511009</w:t>
        </w:r>
      </w:hyperlink>
      <w:r w:rsidRPr="0029799F">
        <w:rPr>
          <w:rFonts w:ascii="Times New Roman" w:hAnsi="Times New Roman" w:cs="Times New Roman"/>
          <w:sz w:val="28"/>
          <w:szCs w:val="28"/>
        </w:rPr>
        <w:t>(дата обращения: 01.03.2023).</w:t>
      </w:r>
    </w:p>
    <w:p w14:paraId="24069CD8" w14:textId="0A361808" w:rsidR="00A41D8C" w:rsidRPr="00A41D8C" w:rsidRDefault="00A41D8C" w:rsidP="00A41D8C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Van Tam, N. (2021).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Scientometric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Review of Research Trends on Public Private Partnership (PPP) for Infrastructure Projects From 2000 to 2020. CSID Journal of Infrastructure Development, 4(1), 32.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[сайт]. – URL:</w:t>
      </w:r>
      <w:r w:rsidRPr="00A41D8C">
        <w:rPr>
          <w:lang w:val="en-US"/>
        </w:rPr>
        <w:t xml:space="preserve"> </w:t>
      </w:r>
      <w:hyperlink r:id="rId8" w:history="1">
        <w:r w:rsidRPr="00A41D8C">
          <w:rPr>
            <w:lang w:val="en-US"/>
          </w:rPr>
          <w:t>https://doi.org/10.32783/csid-jid.v4i1.215</w:t>
        </w:r>
      </w:hyperlink>
      <w:r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1D8C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A41D8C">
        <w:rPr>
          <w:rFonts w:ascii="Times New Roman" w:hAnsi="Times New Roman" w:cs="Times New Roman"/>
          <w:sz w:val="28"/>
          <w:szCs w:val="28"/>
          <w:lang w:val="en-US"/>
        </w:rPr>
        <w:t>: 02.03.2023).</w:t>
      </w:r>
    </w:p>
    <w:p w14:paraId="036BE67C" w14:textId="7C590E4B" w:rsidR="00A41D8C" w:rsidRPr="0029799F" w:rsidRDefault="00A41D8C" w:rsidP="00A41D8C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Е. А. Основы организации и управления в строительстве: учебник и практикум для вузов / Е. А.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А. С. Павлов. – 2-е изд.,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. и доп. – Москва: Издательство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2023. – 648 с. – (Высшее образование).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9799F">
        <w:rPr>
          <w:rFonts w:ascii="Times New Roman" w:hAnsi="Times New Roman" w:cs="Times New Roman"/>
          <w:sz w:val="28"/>
          <w:szCs w:val="28"/>
        </w:rPr>
        <w:t xml:space="preserve"> 978-5-534-13821-4. – Текст: электронный // Образовательная платформа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 [сайт].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799F">
        <w:rPr>
          <w:rFonts w:ascii="Times New Roman" w:hAnsi="Times New Roman" w:cs="Times New Roman"/>
          <w:sz w:val="28"/>
          <w:szCs w:val="28"/>
        </w:rPr>
        <w:t>:</w:t>
      </w:r>
      <w:r w:rsidRPr="0029799F">
        <w:t xml:space="preserve"> </w:t>
      </w:r>
      <w:hyperlink r:id="rId9" w:tgtFrame="_blank" w:history="1">
        <w:r w:rsidRPr="00A41D8C">
          <w:rPr>
            <w:lang w:val="en-US"/>
          </w:rPr>
          <w:t>https</w:t>
        </w:r>
        <w:r w:rsidRPr="0029799F">
          <w:t>://</w:t>
        </w:r>
        <w:proofErr w:type="spellStart"/>
        <w:r w:rsidRPr="00A41D8C">
          <w:rPr>
            <w:lang w:val="en-US"/>
          </w:rPr>
          <w:t>urait</w:t>
        </w:r>
        <w:proofErr w:type="spellEnd"/>
        <w:r w:rsidRPr="0029799F">
          <w:t>.</w:t>
        </w:r>
        <w:proofErr w:type="spellStart"/>
        <w:r w:rsidRPr="00A41D8C">
          <w:rPr>
            <w:lang w:val="en-US"/>
          </w:rPr>
          <w:t>ru</w:t>
        </w:r>
        <w:proofErr w:type="spellEnd"/>
        <w:r w:rsidRPr="0029799F">
          <w:t>/</w:t>
        </w:r>
        <w:proofErr w:type="spellStart"/>
        <w:r w:rsidRPr="00A41D8C">
          <w:rPr>
            <w:lang w:val="en-US"/>
          </w:rPr>
          <w:t>bcode</w:t>
        </w:r>
        <w:proofErr w:type="spellEnd"/>
        <w:r w:rsidRPr="0029799F">
          <w:t>/519637</w:t>
        </w:r>
      </w:hyperlink>
      <w:r w:rsidRPr="0029799F">
        <w:t xml:space="preserve"> </w:t>
      </w:r>
      <w:r w:rsidRPr="0029799F">
        <w:rPr>
          <w:rFonts w:ascii="Times New Roman" w:hAnsi="Times New Roman" w:cs="Times New Roman"/>
          <w:sz w:val="28"/>
          <w:szCs w:val="28"/>
        </w:rPr>
        <w:t>(дата обращения: 09.03.2023).</w:t>
      </w:r>
    </w:p>
    <w:p w14:paraId="7F864EA6" w14:textId="5A277E13" w:rsidR="00A41D8C" w:rsidRPr="0029799F" w:rsidRDefault="00A41D8C" w:rsidP="00A41D8C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9F">
        <w:rPr>
          <w:rFonts w:ascii="Times New Roman" w:hAnsi="Times New Roman" w:cs="Times New Roman"/>
          <w:sz w:val="28"/>
          <w:szCs w:val="28"/>
        </w:rPr>
        <w:t xml:space="preserve">Исаева, О. М. Управление человеческими ресурсами: учебник и практикум для вузов / О. М. Исаева, Е. А.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Припорова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. – 2-е изд. – Москва: Издательство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, 2023. – 178 с. – (Высшее образование).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9799F">
        <w:rPr>
          <w:rFonts w:ascii="Times New Roman" w:hAnsi="Times New Roman" w:cs="Times New Roman"/>
          <w:sz w:val="28"/>
          <w:szCs w:val="28"/>
        </w:rPr>
        <w:t xml:space="preserve"> 978-5-534-14873-2. – Текст: электронный // Образовательная платформа </w:t>
      </w:r>
      <w:proofErr w:type="spellStart"/>
      <w:r w:rsidRPr="0029799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9799F">
        <w:rPr>
          <w:rFonts w:ascii="Times New Roman" w:hAnsi="Times New Roman" w:cs="Times New Roman"/>
          <w:sz w:val="28"/>
          <w:szCs w:val="28"/>
        </w:rPr>
        <w:t xml:space="preserve"> [сайт]. –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799F">
        <w:rPr>
          <w:rFonts w:ascii="Times New Roman" w:hAnsi="Times New Roman" w:cs="Times New Roman"/>
          <w:sz w:val="28"/>
          <w:szCs w:val="28"/>
        </w:rPr>
        <w:t>:</w:t>
      </w:r>
      <w:r w:rsidRPr="0029799F">
        <w:t xml:space="preserve"> </w:t>
      </w:r>
      <w:hyperlink r:id="rId10" w:tgtFrame="_blank" w:history="1">
        <w:r w:rsidRPr="00A41D8C">
          <w:rPr>
            <w:lang w:val="en-US"/>
          </w:rPr>
          <w:t>https</w:t>
        </w:r>
        <w:r w:rsidRPr="0029799F">
          <w:t>://</w:t>
        </w:r>
        <w:proofErr w:type="spellStart"/>
        <w:r w:rsidRPr="00A41D8C">
          <w:rPr>
            <w:lang w:val="en-US"/>
          </w:rPr>
          <w:t>urait</w:t>
        </w:r>
        <w:proofErr w:type="spellEnd"/>
        <w:r w:rsidRPr="0029799F">
          <w:t>.</w:t>
        </w:r>
        <w:proofErr w:type="spellStart"/>
        <w:r w:rsidRPr="00A41D8C">
          <w:rPr>
            <w:lang w:val="en-US"/>
          </w:rPr>
          <w:t>ru</w:t>
        </w:r>
        <w:proofErr w:type="spellEnd"/>
        <w:r w:rsidRPr="0029799F">
          <w:t>/</w:t>
        </w:r>
        <w:proofErr w:type="spellStart"/>
        <w:r w:rsidRPr="00A41D8C">
          <w:rPr>
            <w:lang w:val="en-US"/>
          </w:rPr>
          <w:t>bcode</w:t>
        </w:r>
        <w:proofErr w:type="spellEnd"/>
        <w:r w:rsidRPr="0029799F">
          <w:t>/512167</w:t>
        </w:r>
      </w:hyperlink>
      <w:r w:rsidRPr="0029799F">
        <w:t xml:space="preserve"> </w:t>
      </w:r>
      <w:r w:rsidRPr="0029799F">
        <w:rPr>
          <w:rFonts w:ascii="Times New Roman" w:hAnsi="Times New Roman" w:cs="Times New Roman"/>
          <w:sz w:val="28"/>
          <w:szCs w:val="28"/>
        </w:rPr>
        <w:t>(дата обращения: 03.03.2023).</w:t>
      </w:r>
    </w:p>
    <w:p w14:paraId="102C956E" w14:textId="4F43E4E6" w:rsidR="00436244" w:rsidRPr="005E1174" w:rsidRDefault="007E4EF3" w:rsidP="0015231B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Aghayeva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K.,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Ślusarczyk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(2019).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Analytic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hierarchy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motivating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demotivating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factors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affecting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labor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industry: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Azerbaijan.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Sustainability,</w:t>
      </w:r>
      <w:r w:rsidR="0015231B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11(21),</w:t>
      </w:r>
      <w:r w:rsidR="0015231B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lang w:val="en-US"/>
        </w:rPr>
        <w:t>5975.</w:t>
      </w:r>
      <w:r w:rsidR="0015231B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[сайт]. – URL:</w:t>
      </w:r>
      <w:r w:rsidR="009D14B5" w:rsidRPr="00A41D8C">
        <w:rPr>
          <w:lang w:val="en-US"/>
        </w:rPr>
        <w:t xml:space="preserve"> </w:t>
      </w:r>
      <w:hyperlink r:id="rId11" w:history="1">
        <w:r w:rsidRPr="00A41D8C">
          <w:rPr>
            <w:lang w:val="en-US"/>
          </w:rPr>
          <w:t>https://doi.org/10.3390/su11215975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(дата обращения: 27.02.2023).</w:t>
      </w:r>
    </w:p>
    <w:p w14:paraId="62BD9273" w14:textId="1584AD78" w:rsidR="007E4EF3" w:rsidRPr="005E1174" w:rsidRDefault="007E4EF3" w:rsidP="0015231B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Al-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Abbadi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G.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d.,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Agyekum-Mensah,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G.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(2019).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effects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factors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E1174">
        <w:rPr>
          <w:rFonts w:ascii="Times New Roman" w:hAnsi="Times New Roman" w:cs="Times New Roman"/>
          <w:sz w:val="28"/>
          <w:szCs w:val="28"/>
          <w:lang w:val="en-US"/>
        </w:rPr>
        <w:t>professionals</w:t>
      </w:r>
      <w:proofErr w:type="gramEnd"/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Jordan.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Management,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1-12.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[сайт]. – URL:</w:t>
      </w:r>
      <w:r w:rsidR="009D14B5" w:rsidRPr="00A41D8C">
        <w:rPr>
          <w:lang w:val="en-US"/>
        </w:rPr>
        <w:t xml:space="preserve"> </w:t>
      </w:r>
      <w:hyperlink r:id="rId12" w:history="1">
        <w:r w:rsidRPr="00A41D8C">
          <w:rPr>
            <w:lang w:val="en-US"/>
          </w:rPr>
          <w:t>https://doi.org/10.1080/15623599.2019.1652951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: 28.02.2023).</w:t>
      </w:r>
    </w:p>
    <w:p w14:paraId="601C619E" w14:textId="72EDDFD9" w:rsidR="007E4EF3" w:rsidRPr="005E1174" w:rsidRDefault="007E4EF3" w:rsidP="0015231B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Ayele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S.,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Fayek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(2019).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measurement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projects.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Canadian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Civil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Engineering,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46(3),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195-206.</w:t>
      </w:r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[сайт]. – URL: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A41D8C">
          <w:rPr>
            <w:lang w:val="en-US"/>
          </w:rPr>
          <w:t>https://doi.org/10.1139/cjce-2018-0020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4B5" w:rsidRPr="00A41D8C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27.02.2023).</w:t>
      </w:r>
    </w:p>
    <w:p w14:paraId="492BB152" w14:textId="7F8CE815" w:rsidR="007E4EF3" w:rsidRPr="005E1174" w:rsidRDefault="007E4EF3" w:rsidP="0015231B">
      <w:pPr>
        <w:pStyle w:val="a6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1174">
        <w:rPr>
          <w:rFonts w:ascii="Times New Roman" w:hAnsi="Times New Roman" w:cs="Times New Roman"/>
          <w:sz w:val="28"/>
          <w:szCs w:val="28"/>
          <w:lang w:val="en-US"/>
        </w:rPr>
        <w:t>Gunduz</w:t>
      </w:r>
      <w:proofErr w:type="spellEnd"/>
      <w:r w:rsidRPr="005E11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M.,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Abdi,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(2020).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Motivational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Factors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Cooperative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Partnerships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Contractors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Industry.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lastRenderedPageBreak/>
        <w:t>Journal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Engineering,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36(4),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lang w:val="en-US"/>
        </w:rPr>
        <w:t>04020018.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14" w:history="1">
        <w:r w:rsidRPr="005E11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https://doi.org/10.1061/(ASCE)ME.1943-5479.0000773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01.03.2023).</w:t>
      </w:r>
    </w:p>
    <w:p w14:paraId="05BEA0DD" w14:textId="17E8B35B" w:rsidR="007E4EF3" w:rsidRPr="0029799F" w:rsidRDefault="007E4EF3" w:rsidP="00A41D8C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E1174">
        <w:rPr>
          <w:rFonts w:ascii="Times New Roman" w:hAnsi="Times New Roman" w:cs="Times New Roman"/>
          <w:sz w:val="28"/>
          <w:szCs w:val="28"/>
          <w:lang w:val="en-US"/>
        </w:rPr>
        <w:t>Hai,</w:t>
      </w:r>
      <w:r w:rsidR="0015231B" w:rsidRPr="005E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Tam,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(2019).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Application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Regression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Evaluating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Affecting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Workers’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Labor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Vietnam.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Building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Technology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13(1),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353-362.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15" w:history="1">
        <w:r w:rsidRPr="0029799F">
          <w:rPr>
            <w:shd w:val="clear" w:color="auto" w:fill="FFFFFF"/>
            <w:lang w:val="en-US"/>
          </w:rPr>
          <w:t>https://doi.org/10.2174/1874836801913010353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27.02.2023).</w:t>
      </w:r>
    </w:p>
    <w:p w14:paraId="01C08B2A" w14:textId="36F57EC6" w:rsidR="007E4EF3" w:rsidRPr="00A41D8C" w:rsidRDefault="007E4EF3" w:rsidP="00A41D8C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Corporation,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(2018).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Industry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Value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Chain: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How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Companies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Carbon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Pricing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Address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Climate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Risk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Opportunities.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 – URL:</w:t>
      </w:r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A41D8C">
          <w:rPr>
            <w:shd w:val="clear" w:color="auto" w:fill="FFFFFF"/>
          </w:rPr>
          <w:t>http://hdl.handle.net/10986/31055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.2023).</w:t>
      </w:r>
    </w:p>
    <w:p w14:paraId="2F1FCAB3" w14:textId="0A2E0AAE" w:rsidR="007E4EF3" w:rsidRPr="0029799F" w:rsidRDefault="007E4EF3" w:rsidP="00A41D8C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Hasan,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Baroudi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Elmualim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Rameezdeen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(2018).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affecting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811C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30-year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systematic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review.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Engineering,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Architectural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17" w:history="1">
        <w:r w:rsidR="009D14B5" w:rsidRPr="0029799F">
          <w:rPr>
            <w:shd w:val="clear" w:color="auto" w:fill="FFFFFF"/>
            <w:lang w:val="en-US"/>
          </w:rPr>
          <w:t>https://doi.org/10.1108/ECAM-02-2017-0035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08.03.2023).</w:t>
      </w:r>
    </w:p>
    <w:p w14:paraId="4002E4AC" w14:textId="0BA65FC1" w:rsidR="007E4EF3" w:rsidRPr="00A41D8C" w:rsidRDefault="007E4EF3" w:rsidP="00A41D8C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Hamza,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Shahid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Hainin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Nashwan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(2019).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labour</w:t>
      </w:r>
      <w:proofErr w:type="spellEnd"/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review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identified.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1-13.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]. – URL:</w:t>
      </w:r>
      <w:r w:rsidR="009D14B5" w:rsidRPr="00A41D8C">
        <w:t xml:space="preserve"> </w:t>
      </w:r>
      <w:hyperlink r:id="rId18" w:history="1">
        <w:r w:rsidR="0015231B" w:rsidRPr="00A41D8C">
          <w:rPr>
            <w:shd w:val="clear" w:color="auto" w:fill="FFFFFF"/>
          </w:rPr>
          <w:t>https://doi.org/10.1080/15623599.2019.1627503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.2023).</w:t>
      </w:r>
    </w:p>
    <w:p w14:paraId="1197F92D" w14:textId="1482ECB3" w:rsidR="007E4EF3" w:rsidRPr="00A41D8C" w:rsidRDefault="007E4EF3" w:rsidP="00A41D8C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Ohueri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Enegbuma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Wong,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Kuok,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Kenley,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(2018).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Labour</w:t>
      </w:r>
      <w:proofErr w:type="spellEnd"/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motivation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framework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Iskandar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Malaysia.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Built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Environment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Project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8(3).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293-304.</w:t>
      </w:r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 – URL:</w:t>
      </w:r>
      <w:r w:rsidR="009D14B5" w:rsidRPr="00A41D8C">
        <w:t xml:space="preserve"> </w:t>
      </w:r>
      <w:hyperlink r:id="rId19" w:history="1">
        <w:r w:rsidRPr="00A41D8C">
          <w:rPr>
            <w:shd w:val="clear" w:color="auto" w:fill="FFFFFF"/>
          </w:rPr>
          <w:t>https://doi.org/10.1108/BEPAM-09-2017-0070</w:t>
        </w:r>
      </w:hyperlink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.2023).</w:t>
      </w:r>
    </w:p>
    <w:p w14:paraId="11944DE5" w14:textId="3149B3CA" w:rsidR="007E4EF3" w:rsidRPr="00A41D8C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Dixit,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Pandey,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Mandal,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Bansal,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(2017).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enabling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affecting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Indian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scnerio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Journal</w:t>
      </w:r>
      <w:proofErr w:type="spellEnd"/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Civil</w:t>
      </w:r>
      <w:proofErr w:type="spellEnd"/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Engineering</w:t>
      </w:r>
      <w:proofErr w:type="spellEnd"/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&amp;</w:t>
      </w:r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Technology,</w:t>
      </w:r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8(6),</w:t>
      </w:r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741-758</w:t>
      </w:r>
      <w:r w:rsidR="009D14B5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0453C0" w14:textId="0B2D6FCE" w:rsidR="007E4EF3" w:rsidRPr="0029799F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Johari,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Jha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(2020).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Impact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Motivation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Labor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engineering,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36(5),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04020052.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20" w:history="1">
        <w:r w:rsidRPr="0029799F">
          <w:rPr>
            <w:shd w:val="clear" w:color="auto" w:fill="FFFFFF"/>
            <w:lang w:val="en-US"/>
          </w:rPr>
          <w:t>https://doi.org/10.1061/(ASCE)ME.1943-5479.0000824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26.02.2023).</w:t>
      </w:r>
    </w:p>
    <w:p w14:paraId="427B32DE" w14:textId="212847F9" w:rsidR="007E4EF3" w:rsidRPr="0029799F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Momade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Hainin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(2019).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Identifying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motivational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demotivational</w:t>
      </w:r>
      <w:proofErr w:type="spellEnd"/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Qatar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projects.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Engineering,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Technology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Applied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Science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Research,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9(2),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3945-3948.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21" w:history="1">
        <w:r w:rsidRPr="0029799F">
          <w:rPr>
            <w:shd w:val="clear" w:color="auto" w:fill="FFFFFF"/>
            <w:lang w:val="en-US"/>
          </w:rPr>
          <w:t>https://doi.org/10.48084/etasr.2577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28.02.2023).</w:t>
      </w:r>
    </w:p>
    <w:p w14:paraId="55CC4042" w14:textId="6C9B6459" w:rsidR="007E4EF3" w:rsidRPr="0029799F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Shoar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Banaitis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(2019).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Application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fuzzy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fault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tree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analysis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identify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influencing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labor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productivity: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high-rise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building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case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study.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Civil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Engineering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25(1),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41-52.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22" w:history="1">
        <w:r w:rsidRPr="0029799F">
          <w:rPr>
            <w:shd w:val="clear" w:color="auto" w:fill="FFFFFF"/>
            <w:lang w:val="en-US"/>
          </w:rPr>
          <w:t>https://doi.org/10.3846/jcem.2019.7785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28.02.2023).</w:t>
      </w:r>
    </w:p>
    <w:p w14:paraId="48476A18" w14:textId="1A473C74" w:rsidR="007E4EF3" w:rsidRPr="0029799F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Tam,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Toan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Phong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Durdyev</w:t>
      </w:r>
      <w:proofErr w:type="spellEnd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(2021).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Impact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BIM-related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factors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affecting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project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performance.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Building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Pathology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Adaptation.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23" w:history="1">
        <w:r w:rsidRPr="0029799F">
          <w:rPr>
            <w:shd w:val="clear" w:color="auto" w:fill="FFFFFF"/>
            <w:lang w:val="en-US"/>
          </w:rPr>
          <w:t>https://doi.org/10.1108/IJBPA-05-2021-0068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04.03.2023).</w:t>
      </w:r>
    </w:p>
    <w:p w14:paraId="0A0D08C6" w14:textId="48F6F4E7" w:rsidR="007E4EF3" w:rsidRPr="0029799F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Van,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&amp;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Quoc,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(2021).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Research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Trends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Machine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Learning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Construction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Management: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Scientometric</w:t>
      </w:r>
      <w:proofErr w:type="spellEnd"/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Analysis.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Applied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Science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Technology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Trends,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2(03),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96-104.</w:t>
      </w:r>
      <w:r w:rsidR="0015231B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gramStart"/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proofErr w:type="gramEnd"/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]. – URL:</w:t>
      </w:r>
      <w:r w:rsidR="009D14B5" w:rsidRPr="0029799F">
        <w:rPr>
          <w:lang w:val="en-US"/>
        </w:rPr>
        <w:t xml:space="preserve"> </w:t>
      </w:r>
      <w:hyperlink r:id="rId24" w:history="1">
        <w:r w:rsidRPr="0029799F">
          <w:rPr>
            <w:shd w:val="clear" w:color="auto" w:fill="FFFFFF"/>
            <w:lang w:val="en-US"/>
          </w:rPr>
          <w:t>https://doi.org/10.38094/jastt203105</w:t>
        </w:r>
      </w:hyperlink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D14B5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9D14B5" w:rsidRPr="002979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04.03.2023).</w:t>
      </w:r>
    </w:p>
    <w:p w14:paraId="7C4B1D05" w14:textId="69BBE8E0" w:rsidR="007E4EF3" w:rsidRPr="00A41D8C" w:rsidRDefault="007E4EF3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деятельности: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вузов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Родионова,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Доминяк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Жушман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Экземпляров;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редакцией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Родионовой.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2023.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279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образование).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978-5-534-01566-9.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[сайт].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URL:</w:t>
      </w:r>
      <w:r w:rsidR="0015231B" w:rsidRPr="00A41D8C">
        <w:t xml:space="preserve"> </w:t>
      </w:r>
      <w:hyperlink r:id="rId25" w:tgtFrame="_blank" w:history="1">
        <w:r w:rsidRPr="00A41D8C">
          <w:rPr>
            <w:shd w:val="clear" w:color="auto" w:fill="FFFFFF"/>
          </w:rPr>
          <w:t>https://urait.ru/bcode/511644</w:t>
        </w:r>
      </w:hyperlink>
      <w:r w:rsidR="0015231B"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(дата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 w:rsidR="0015231B"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5980DD33" w14:textId="71FA590E" w:rsidR="007E4EF3" w:rsidRPr="00A41D8C" w:rsidRDefault="0015231B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Лобанова, Т. Н. </w:t>
      </w:r>
      <w:r w:rsidRPr="00A41D8C"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и стимулирование трудовой деятельности: учебник и практикум для вузов / Т. Н. Лобанова. – 2-е изд.,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553 с. – (Высшее образование). – ISBN 978-5-534-15806-9.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A41D8C">
        <w:t xml:space="preserve"> </w:t>
      </w:r>
      <w:hyperlink r:id="rId26" w:tgtFrame="_blank" w:history="1">
        <w:r w:rsidRPr="00A41D8C">
          <w:rPr>
            <w:shd w:val="clear" w:color="auto" w:fill="FFFFFF"/>
          </w:rPr>
          <w:t>https://urait.ru/bcode/509798</w:t>
        </w:r>
      </w:hyperlink>
      <w:r w:rsidRPr="00A41D8C"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2C008AD1" w14:textId="248BE5CC" w:rsidR="0015231B" w:rsidRPr="00A41D8C" w:rsidRDefault="0015231B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Исаева, О. М.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персоналом: учебник и практикум для среднего профессионального образования / О. М. Исаева, Е. А.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Припорова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2-е изд.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168 с. – (Профессиональное образование). – ISBN 978-5-534-07215-0.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A41D8C">
        <w:t xml:space="preserve"> </w:t>
      </w:r>
      <w:hyperlink r:id="rId27" w:tgtFrame="_blank" w:history="1">
        <w:r w:rsidRPr="00A41D8C">
          <w:rPr>
            <w:shd w:val="clear" w:color="auto" w:fill="FFFFFF"/>
          </w:rPr>
          <w:t>https://urait.ru/bcode/513169</w:t>
        </w:r>
      </w:hyperlink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6C79F98B" w14:textId="0FE0807D" w:rsidR="0015231B" w:rsidRPr="00A41D8C" w:rsidRDefault="0015231B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Гусакова</w:t>
      </w:r>
      <w:proofErr w:type="spellEnd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А.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организации и управления в строительстве: учебник и практикум для среднего профессионального образования / Е. А.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Гусакова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С. Павлов. – 2-е изд.,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648 с. – (Профессиональное образование). – ISBN 978-5-534-14397-3.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A41D8C">
        <w:t xml:space="preserve"> </w:t>
      </w:r>
      <w:hyperlink r:id="rId28" w:tgtFrame="_blank" w:history="1">
        <w:r w:rsidRPr="00A41D8C">
          <w:rPr>
            <w:shd w:val="clear" w:color="auto" w:fill="FFFFFF"/>
          </w:rPr>
          <w:t>https://urait.ru/bcode/519638</w:t>
        </w:r>
      </w:hyperlink>
      <w:r w:rsidRPr="00A41D8C"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60C6055B" w14:textId="6961E019" w:rsidR="0015231B" w:rsidRPr="00A41D8C" w:rsidRDefault="0015231B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Бузырев</w:t>
      </w:r>
      <w:proofErr w:type="spellEnd"/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В.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качеством в строительстве: учебное пособие для вузов / В. В.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Бузырев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Н. Юденко; под общей редакцией М. Н. Юденко. – 2-е изд.,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198 с. – (Высшее образование). – ISBN 978-5-534-05645-7.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A41D8C">
        <w:t xml:space="preserve"> </w:t>
      </w:r>
      <w:hyperlink r:id="rId29" w:tgtFrame="_blank" w:history="1">
        <w:r w:rsidRPr="00A41D8C">
          <w:rPr>
            <w:shd w:val="clear" w:color="auto" w:fill="FFFFFF"/>
          </w:rPr>
          <w:t>https://urait.ru/bcode/515510</w:t>
        </w:r>
      </w:hyperlink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54FF4FD5" w14:textId="3DBC0DDA" w:rsidR="0015231B" w:rsidRPr="00A41D8C" w:rsidRDefault="0015231B" w:rsidP="00B67745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Планирование на предприятии в строительной отрасли: учебник и практикум для среднего профессионального образования / под общей редакцией Х. М.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Гумба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253 с. – (Профессиональное образование). – ISBN 978-5-534-04938-1.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A41D8C">
        <w:t xml:space="preserve"> </w:t>
      </w:r>
      <w:hyperlink r:id="rId30" w:tgtFrame="_blank" w:history="1">
        <w:r w:rsidRPr="00A41D8C">
          <w:rPr>
            <w:shd w:val="clear" w:color="auto" w:fill="FFFFFF"/>
          </w:rPr>
          <w:t>https://urait.ru/bcode/514461</w:t>
        </w:r>
      </w:hyperlink>
      <w:r w:rsidRPr="00A41D8C"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p w14:paraId="0DFD4FDF" w14:textId="5CF1B15B" w:rsidR="0015231B" w:rsidRPr="00F92C33" w:rsidRDefault="0015231B" w:rsidP="00F92C33">
      <w:pPr>
        <w:pStyle w:val="a6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8C">
        <w:rPr>
          <w:rFonts w:ascii="Times New Roman" w:hAnsi="Times New Roman" w:cs="Times New Roman"/>
          <w:sz w:val="28"/>
          <w:szCs w:val="28"/>
          <w:shd w:val="clear" w:color="auto" w:fill="FFFFFF"/>
        </w:rPr>
        <w:t>Асанов, В. Л.</w:t>
      </w:r>
      <w:r w:rsidRPr="00A41D8C"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Архитектурный менеджмент и администрирование: учебное пособие для вузов / В. Л. Асанов. – Москва: Издательство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2023. – 202 с. – (Высшее образование). – ISBN 978-5-534-12778-2. – Текст: электронный // Образовательная платформа </w:t>
      </w:r>
      <w:proofErr w:type="spellStart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– URL:</w:t>
      </w:r>
      <w:r w:rsidRPr="005E1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1" w:tgtFrame="_blank" w:history="1">
        <w:r w:rsidRPr="005E11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https://urait.ru/bcode/519155</w:t>
        </w:r>
      </w:hyperlink>
      <w:r w:rsidRPr="005E1174">
        <w:rPr>
          <w:rFonts w:ascii="Times New Roman" w:hAnsi="Times New Roman" w:cs="Times New Roman"/>
          <w:sz w:val="28"/>
          <w:szCs w:val="28"/>
        </w:rPr>
        <w:t xml:space="preserve"> 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</w:t>
      </w:r>
      <w:r w:rsidR="009D14B5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5E1174">
        <w:rPr>
          <w:rFonts w:ascii="Times New Roman" w:hAnsi="Times New Roman" w:cs="Times New Roman"/>
          <w:sz w:val="28"/>
          <w:szCs w:val="28"/>
          <w:shd w:val="clear" w:color="auto" w:fill="FFFFFF"/>
        </w:rPr>
        <w:t>.03.2023).</w:t>
      </w:r>
    </w:p>
    <w:sectPr w:rsidR="0015231B" w:rsidRPr="00F92C33" w:rsidSect="005A1A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33"/>
    <w:multiLevelType w:val="hybridMultilevel"/>
    <w:tmpl w:val="ABC64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8E"/>
    <w:rsid w:val="0001445F"/>
    <w:rsid w:val="00014AE5"/>
    <w:rsid w:val="00036C02"/>
    <w:rsid w:val="00053F50"/>
    <w:rsid w:val="00055347"/>
    <w:rsid w:val="00081D3D"/>
    <w:rsid w:val="00090A06"/>
    <w:rsid w:val="00090F89"/>
    <w:rsid w:val="000A28DD"/>
    <w:rsid w:val="000B51F9"/>
    <w:rsid w:val="00116A98"/>
    <w:rsid w:val="00145E59"/>
    <w:rsid w:val="0015231B"/>
    <w:rsid w:val="00183A29"/>
    <w:rsid w:val="001A2CCD"/>
    <w:rsid w:val="001A3C25"/>
    <w:rsid w:val="002279E1"/>
    <w:rsid w:val="00233E9A"/>
    <w:rsid w:val="002626D9"/>
    <w:rsid w:val="0029799F"/>
    <w:rsid w:val="002A5CA9"/>
    <w:rsid w:val="002D605C"/>
    <w:rsid w:val="002D72E8"/>
    <w:rsid w:val="002E48BA"/>
    <w:rsid w:val="002E784C"/>
    <w:rsid w:val="0033318E"/>
    <w:rsid w:val="00344DD8"/>
    <w:rsid w:val="00353FFD"/>
    <w:rsid w:val="003F1815"/>
    <w:rsid w:val="003F1C5D"/>
    <w:rsid w:val="0040019F"/>
    <w:rsid w:val="004254D9"/>
    <w:rsid w:val="00436244"/>
    <w:rsid w:val="00453814"/>
    <w:rsid w:val="00464CE4"/>
    <w:rsid w:val="004811F7"/>
    <w:rsid w:val="00490739"/>
    <w:rsid w:val="004C5E8D"/>
    <w:rsid w:val="005078D4"/>
    <w:rsid w:val="00522F18"/>
    <w:rsid w:val="00596CEE"/>
    <w:rsid w:val="005A1AD6"/>
    <w:rsid w:val="005C6D7D"/>
    <w:rsid w:val="005D365D"/>
    <w:rsid w:val="005E1174"/>
    <w:rsid w:val="00667BAC"/>
    <w:rsid w:val="00721EF1"/>
    <w:rsid w:val="00742D53"/>
    <w:rsid w:val="00794318"/>
    <w:rsid w:val="007C080A"/>
    <w:rsid w:val="007E1F3C"/>
    <w:rsid w:val="007E4EF3"/>
    <w:rsid w:val="00835097"/>
    <w:rsid w:val="00845164"/>
    <w:rsid w:val="0085316F"/>
    <w:rsid w:val="008811CB"/>
    <w:rsid w:val="008E3E43"/>
    <w:rsid w:val="0093746D"/>
    <w:rsid w:val="00947683"/>
    <w:rsid w:val="009A5CA8"/>
    <w:rsid w:val="009B1BAA"/>
    <w:rsid w:val="009B6308"/>
    <w:rsid w:val="009C0607"/>
    <w:rsid w:val="009D14B5"/>
    <w:rsid w:val="009E5C90"/>
    <w:rsid w:val="00A02609"/>
    <w:rsid w:val="00A27724"/>
    <w:rsid w:val="00A41D8C"/>
    <w:rsid w:val="00A56B35"/>
    <w:rsid w:val="00AE4C71"/>
    <w:rsid w:val="00B13F7A"/>
    <w:rsid w:val="00B613A6"/>
    <w:rsid w:val="00B6662E"/>
    <w:rsid w:val="00B67745"/>
    <w:rsid w:val="00B90C36"/>
    <w:rsid w:val="00BB2F3B"/>
    <w:rsid w:val="00C00931"/>
    <w:rsid w:val="00C13B5C"/>
    <w:rsid w:val="00C22BCE"/>
    <w:rsid w:val="00C578E3"/>
    <w:rsid w:val="00C746C9"/>
    <w:rsid w:val="00C74C59"/>
    <w:rsid w:val="00CA02B1"/>
    <w:rsid w:val="00CB79D7"/>
    <w:rsid w:val="00CD6F80"/>
    <w:rsid w:val="00D041F9"/>
    <w:rsid w:val="00D05183"/>
    <w:rsid w:val="00D63253"/>
    <w:rsid w:val="00D736E8"/>
    <w:rsid w:val="00DC2B6D"/>
    <w:rsid w:val="00DD45C3"/>
    <w:rsid w:val="00E259F5"/>
    <w:rsid w:val="00E71FE6"/>
    <w:rsid w:val="00EF1D12"/>
    <w:rsid w:val="00EF5C75"/>
    <w:rsid w:val="00F07107"/>
    <w:rsid w:val="00F92C33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277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Hyperlink"/>
    <w:basedOn w:val="a0"/>
    <w:uiPriority w:val="99"/>
    <w:unhideWhenUsed/>
    <w:rsid w:val="007E4E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EF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4EF3"/>
    <w:pPr>
      <w:ind w:left="720"/>
      <w:contextualSpacing/>
    </w:pPr>
  </w:style>
  <w:style w:type="character" w:customStyle="1" w:styleId="apple-converted-space">
    <w:name w:val="apple-converted-space"/>
    <w:basedOn w:val="a0"/>
    <w:rsid w:val="007E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277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Hyperlink"/>
    <w:basedOn w:val="a0"/>
    <w:uiPriority w:val="99"/>
    <w:unhideWhenUsed/>
    <w:rsid w:val="007E4E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EF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4EF3"/>
    <w:pPr>
      <w:ind w:left="720"/>
      <w:contextualSpacing/>
    </w:pPr>
  </w:style>
  <w:style w:type="character" w:customStyle="1" w:styleId="apple-converted-space">
    <w:name w:val="apple-converted-space"/>
    <w:basedOn w:val="a0"/>
    <w:rsid w:val="007E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4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3/csid-jid.v4i1.215" TargetMode="External"/><Relationship Id="rId13" Type="http://schemas.openxmlformats.org/officeDocument/2006/relationships/hyperlink" Target="https://doi.org/10.1139/cjce-2018-0020" TargetMode="External"/><Relationship Id="rId18" Type="http://schemas.openxmlformats.org/officeDocument/2006/relationships/hyperlink" Target="https://doi.org/10.1080/15623599.2019.1627503" TargetMode="External"/><Relationship Id="rId26" Type="http://schemas.openxmlformats.org/officeDocument/2006/relationships/hyperlink" Target="https://urait.ru/bcode/5097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48084/etasr.2577" TargetMode="External"/><Relationship Id="rId7" Type="http://schemas.openxmlformats.org/officeDocument/2006/relationships/hyperlink" Target="https://urait.ru/bcode/511009" TargetMode="External"/><Relationship Id="rId12" Type="http://schemas.openxmlformats.org/officeDocument/2006/relationships/hyperlink" Target="https://doi.org/10.1080/15623599.2019.1652951" TargetMode="External"/><Relationship Id="rId17" Type="http://schemas.openxmlformats.org/officeDocument/2006/relationships/hyperlink" Target="https://doi.org/10.1108/ECAM-02-2017-0035" TargetMode="External"/><Relationship Id="rId25" Type="http://schemas.openxmlformats.org/officeDocument/2006/relationships/hyperlink" Target="https://urait.ru/bcode/51164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dl.handle.net/10986/31055" TargetMode="External"/><Relationship Id="rId20" Type="http://schemas.openxmlformats.org/officeDocument/2006/relationships/hyperlink" Target="https://doi.org/10.1061/(ASCE)ME.1943-5479.0000824" TargetMode="External"/><Relationship Id="rId29" Type="http://schemas.openxmlformats.org/officeDocument/2006/relationships/hyperlink" Target="https://urait.ru/bcode/5155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455" TargetMode="External"/><Relationship Id="rId11" Type="http://schemas.openxmlformats.org/officeDocument/2006/relationships/hyperlink" Target="https://doi.org/10.3390/su11215975" TargetMode="External"/><Relationship Id="rId24" Type="http://schemas.openxmlformats.org/officeDocument/2006/relationships/hyperlink" Target="https://doi.org/10.38094/jastt20310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74/1874836801913010353" TargetMode="External"/><Relationship Id="rId23" Type="http://schemas.openxmlformats.org/officeDocument/2006/relationships/hyperlink" Target="https://doi.org/10.1108/IJBPA-05-2021-0068" TargetMode="External"/><Relationship Id="rId28" Type="http://schemas.openxmlformats.org/officeDocument/2006/relationships/hyperlink" Target="https://urait.ru/bcode/519638" TargetMode="External"/><Relationship Id="rId10" Type="http://schemas.openxmlformats.org/officeDocument/2006/relationships/hyperlink" Target="https://urait.ru/bcode/512167" TargetMode="External"/><Relationship Id="rId19" Type="http://schemas.openxmlformats.org/officeDocument/2006/relationships/hyperlink" Target="https://doi.org/10.1108/BEPAM-09-2017-0070" TargetMode="External"/><Relationship Id="rId31" Type="http://schemas.openxmlformats.org/officeDocument/2006/relationships/hyperlink" Target="https://urait.ru/bcode/519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637" TargetMode="External"/><Relationship Id="rId14" Type="http://schemas.openxmlformats.org/officeDocument/2006/relationships/hyperlink" Target="https://doi.org/10.1061/(ASCE)ME.1943-5479.0000773" TargetMode="External"/><Relationship Id="rId22" Type="http://schemas.openxmlformats.org/officeDocument/2006/relationships/hyperlink" Target="https://doi.org/10.3846/jcem.2019.7785" TargetMode="External"/><Relationship Id="rId27" Type="http://schemas.openxmlformats.org/officeDocument/2006/relationships/hyperlink" Target="https://urait.ru/bcode/513169" TargetMode="External"/><Relationship Id="rId30" Type="http://schemas.openxmlformats.org/officeDocument/2006/relationships/hyperlink" Target="https://urait.ru/bcode/514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Василий Ромуальдович</dc:creator>
  <cp:lastModifiedBy>Sony</cp:lastModifiedBy>
  <cp:revision>2</cp:revision>
  <dcterms:created xsi:type="dcterms:W3CDTF">2023-03-10T19:29:00Z</dcterms:created>
  <dcterms:modified xsi:type="dcterms:W3CDTF">2023-03-10T19:29:00Z</dcterms:modified>
</cp:coreProperties>
</file>