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8A84" w14:textId="03E14025" w:rsidR="005576B3" w:rsidRPr="005576B3" w:rsidRDefault="005576B3" w:rsidP="005576B3">
      <w:pPr>
        <w:pStyle w:val="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576B3">
        <w:rPr>
          <w:rFonts w:ascii="Times New Roman" w:hAnsi="Times New Roman" w:cs="Times New Roman"/>
          <w:b/>
          <w:bCs/>
          <w:sz w:val="28"/>
          <w:szCs w:val="28"/>
        </w:rPr>
        <w:t xml:space="preserve">УДК </w:t>
      </w:r>
      <w:r w:rsidRPr="005576B3">
        <w:rPr>
          <w:rFonts w:ascii="Times New Roman" w:hAnsi="Times New Roman" w:cs="Times New Roman"/>
          <w:b/>
          <w:bCs/>
          <w:sz w:val="28"/>
          <w:szCs w:val="28"/>
        </w:rPr>
        <w:t>341:339.9</w:t>
      </w:r>
    </w:p>
    <w:p w14:paraId="6DD69912" w14:textId="77777777" w:rsidR="005576B3" w:rsidRPr="005576B3" w:rsidRDefault="005576B3" w:rsidP="00C319DB">
      <w:pPr>
        <w:pStyle w:val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64525" w14:textId="3BA2C118" w:rsidR="00A72B5C" w:rsidRPr="005576B3" w:rsidRDefault="00000000" w:rsidP="00C319DB">
      <w:pPr>
        <w:pStyle w:val="20"/>
        <w:rPr>
          <w:rFonts w:ascii="Times New Roman" w:hAnsi="Times New Roman" w:cs="Times New Roman"/>
          <w:b/>
          <w:bCs/>
          <w:sz w:val="28"/>
          <w:szCs w:val="28"/>
        </w:rPr>
      </w:pPr>
      <w:r w:rsidRPr="005576B3">
        <w:rPr>
          <w:rFonts w:ascii="Times New Roman" w:hAnsi="Times New Roman" w:cs="Times New Roman"/>
          <w:b/>
          <w:bCs/>
          <w:sz w:val="28"/>
          <w:szCs w:val="28"/>
        </w:rPr>
        <w:t>Транзитное финансирование в России и за рубежом: разность подходов и перспективы совершенствования</w:t>
      </w:r>
    </w:p>
    <w:p w14:paraId="27D77695" w14:textId="77777777" w:rsidR="00A72B5C" w:rsidRPr="005576B3" w:rsidRDefault="00000000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5576B3">
        <w:rPr>
          <w:rFonts w:ascii="Times New Roman" w:hAnsi="Times New Roman" w:cs="Times New Roman"/>
          <w:i/>
          <w:iCs/>
          <w:sz w:val="28"/>
          <w:szCs w:val="28"/>
        </w:rPr>
        <w:t>Черновол Кирилл Александрович</w:t>
      </w:r>
    </w:p>
    <w:p w14:paraId="0FECF950" w14:textId="5A50D47A" w:rsidR="00A72B5C" w:rsidRPr="005576B3" w:rsidRDefault="005576B3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5576B3">
        <w:rPr>
          <w:rFonts w:ascii="Times New Roman" w:hAnsi="Times New Roman" w:cs="Times New Roman"/>
          <w:i/>
          <w:iCs/>
          <w:sz w:val="28"/>
          <w:szCs w:val="28"/>
        </w:rPr>
        <w:t>Научный с</w:t>
      </w:r>
      <w:r w:rsidR="00000000" w:rsidRPr="005576B3">
        <w:rPr>
          <w:rFonts w:ascii="Times New Roman" w:hAnsi="Times New Roman" w:cs="Times New Roman"/>
          <w:i/>
          <w:iCs/>
          <w:sz w:val="28"/>
          <w:szCs w:val="28"/>
        </w:rPr>
        <w:t>отрудник</w:t>
      </w:r>
    </w:p>
    <w:p w14:paraId="11253AF9" w14:textId="77777777" w:rsidR="00A72B5C" w:rsidRPr="005576B3" w:rsidRDefault="00000000">
      <w:pPr>
        <w:pStyle w:val="1"/>
        <w:rPr>
          <w:sz w:val="28"/>
          <w:szCs w:val="28"/>
        </w:rPr>
      </w:pPr>
      <w:r w:rsidRPr="005576B3"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Федерации, Москва, Россия</w:t>
      </w:r>
    </w:p>
    <w:p w14:paraId="5C540BD1" w14:textId="77777777" w:rsidR="00A72B5C" w:rsidRPr="005576B3" w:rsidRDefault="00000000">
      <w:pPr>
        <w:pStyle w:val="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576B3">
        <w:rPr>
          <w:rFonts w:ascii="Times New Roman" w:hAnsi="Times New Roman" w:cs="Times New Roman"/>
          <w:i/>
          <w:iCs/>
          <w:sz w:val="28"/>
          <w:szCs w:val="28"/>
          <w:lang w:val="en-US" w:eastAsia="en-US" w:bidi="en-US"/>
        </w:rPr>
        <w:t xml:space="preserve">E-mail: </w:t>
      </w:r>
      <w:hyperlink r:id="rId7" w:history="1">
        <w:r w:rsidRPr="005576B3">
          <w:rPr>
            <w:rFonts w:ascii="Times New Roman" w:hAnsi="Times New Roman" w:cs="Times New Roman"/>
            <w:i/>
            <w:iCs/>
            <w:sz w:val="28"/>
            <w:szCs w:val="28"/>
            <w:lang w:val="en-US" w:eastAsia="en-US" w:bidi="en-US"/>
          </w:rPr>
          <w:t>k.a.chernovol@gmail.com</w:t>
        </w:r>
      </w:hyperlink>
    </w:p>
    <w:p w14:paraId="6C2A4D3A" w14:textId="77777777" w:rsidR="00C319DB" w:rsidRPr="005576B3" w:rsidRDefault="00C319DB">
      <w:pPr>
        <w:pStyle w:val="1"/>
        <w:ind w:firstLine="360"/>
        <w:rPr>
          <w:sz w:val="28"/>
          <w:szCs w:val="28"/>
          <w:lang w:val="en-US"/>
        </w:rPr>
      </w:pPr>
    </w:p>
    <w:p w14:paraId="1F5634F5" w14:textId="00D4A595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Переходное финансирование направлено в первую очередь на сокращение выбросов в процессе экономической деятельности. Центральное место в привлечении переходного финансирования занимает «выражение приверженности» пути </w:t>
      </w:r>
      <w:proofErr w:type="spellStart"/>
      <w:r w:rsidRPr="005576B3">
        <w:rPr>
          <w:sz w:val="28"/>
          <w:szCs w:val="28"/>
        </w:rPr>
        <w:t>низкоуглеродного</w:t>
      </w:r>
      <w:proofErr w:type="spellEnd"/>
      <w:r w:rsidRPr="005576B3">
        <w:rPr>
          <w:sz w:val="28"/>
          <w:szCs w:val="28"/>
        </w:rPr>
        <w:t xml:space="preserve"> перехода, то есть взятие компанией на себя явно выраженных обязательств по такому переходу в будущем в соответствии с целями Парижского соглашения. ОЭСР отмечает, что пере</w:t>
      </w:r>
      <w:r w:rsidRPr="005576B3">
        <w:rPr>
          <w:sz w:val="28"/>
          <w:szCs w:val="28"/>
        </w:rPr>
        <w:softHyphen/>
        <w:t xml:space="preserve">ход к </w:t>
      </w:r>
      <w:proofErr w:type="spellStart"/>
      <w:r w:rsidRPr="005576B3">
        <w:rPr>
          <w:sz w:val="28"/>
          <w:szCs w:val="28"/>
        </w:rPr>
        <w:t>низкоуглеродным</w:t>
      </w:r>
      <w:proofErr w:type="spellEnd"/>
      <w:r w:rsidRPr="005576B3">
        <w:rPr>
          <w:sz w:val="28"/>
          <w:szCs w:val="28"/>
        </w:rPr>
        <w:t xml:space="preserve"> технологиям в каждой стране будет зависеть от ее внутренней экономической структуры, долгосрочных целей по выбросам, предполагаемого экономи</w:t>
      </w:r>
      <w:r w:rsidRPr="005576B3">
        <w:rPr>
          <w:sz w:val="28"/>
          <w:szCs w:val="28"/>
        </w:rPr>
        <w:softHyphen/>
        <w:t xml:space="preserve">ческого состава после </w:t>
      </w:r>
      <w:r w:rsidRPr="005576B3">
        <w:rPr>
          <w:sz w:val="28"/>
          <w:szCs w:val="28"/>
          <w:lang w:eastAsia="en-US" w:bidi="en-US"/>
        </w:rPr>
        <w:t xml:space="preserve">2050 </w:t>
      </w:r>
      <w:r w:rsidRPr="005576B3">
        <w:rPr>
          <w:sz w:val="28"/>
          <w:szCs w:val="28"/>
        </w:rPr>
        <w:t>г., приоритетов и возможностей. Основные целевые секторы для финансирования переходного периода в каждой стране будут определяться на основе их экономической значимости и доли в общих объемах выбросов в стране. Переходное финансирование может привлекаться для финансирования конкретных активов или опе</w:t>
      </w:r>
      <w:r w:rsidRPr="005576B3">
        <w:rPr>
          <w:sz w:val="28"/>
          <w:szCs w:val="28"/>
        </w:rPr>
        <w:softHyphen/>
        <w:t>рационных и капитальных издержек эмитента. Такие издержки и активы должны способ</w:t>
      </w:r>
      <w:r w:rsidRPr="005576B3">
        <w:rPr>
          <w:sz w:val="28"/>
          <w:szCs w:val="28"/>
        </w:rPr>
        <w:softHyphen/>
        <w:t xml:space="preserve">ствовать достижению конкретных целей стратегии </w:t>
      </w:r>
      <w:proofErr w:type="spellStart"/>
      <w:r w:rsidRPr="005576B3">
        <w:rPr>
          <w:sz w:val="28"/>
          <w:szCs w:val="28"/>
        </w:rPr>
        <w:t>низкоуглеродного</w:t>
      </w:r>
      <w:proofErr w:type="spellEnd"/>
      <w:r w:rsidRPr="005576B3">
        <w:rPr>
          <w:sz w:val="28"/>
          <w:szCs w:val="28"/>
        </w:rPr>
        <w:t xml:space="preserve"> перехода эмитента и должны согласовываться с долгосрочным курсом эмитента по сокращению выбросов пар</w:t>
      </w:r>
      <w:r w:rsidRPr="005576B3">
        <w:rPr>
          <w:sz w:val="28"/>
          <w:szCs w:val="28"/>
        </w:rPr>
        <w:softHyphen/>
        <w:t>никовых газов и переходу к устойчивым бизнес-операциям. Другими словами, переходное финансирование направлено в первую очередь на привлечение инвестиций, которые спо</w:t>
      </w:r>
      <w:r w:rsidRPr="005576B3">
        <w:rPr>
          <w:sz w:val="28"/>
          <w:szCs w:val="28"/>
        </w:rPr>
        <w:softHyphen/>
        <w:t>собствуют более масштабным изменениям на уровне организации. Все существующие на данный момент подходы к переходному финансированию направлены на увеличение по</w:t>
      </w:r>
      <w:r w:rsidRPr="005576B3">
        <w:rPr>
          <w:sz w:val="28"/>
          <w:szCs w:val="28"/>
        </w:rPr>
        <w:softHyphen/>
        <w:t xml:space="preserve">токов капитала и на помощь предприятиям в </w:t>
      </w:r>
      <w:proofErr w:type="spellStart"/>
      <w:r w:rsidRPr="005576B3">
        <w:rPr>
          <w:sz w:val="28"/>
          <w:szCs w:val="28"/>
        </w:rPr>
        <w:t>углеродоемких</w:t>
      </w:r>
      <w:proofErr w:type="spellEnd"/>
      <w:r w:rsidRPr="005576B3">
        <w:rPr>
          <w:sz w:val="28"/>
          <w:szCs w:val="28"/>
        </w:rPr>
        <w:t xml:space="preserve"> секторах с высоким уровнем выбросов по постепенному их снижению. </w:t>
      </w:r>
      <w:r w:rsidRPr="005576B3">
        <w:rPr>
          <w:sz w:val="28"/>
          <w:szCs w:val="28"/>
          <w:lang w:val="en-US" w:eastAsia="en-US" w:bidi="en-US"/>
        </w:rPr>
        <w:t>[1]</w:t>
      </w:r>
    </w:p>
    <w:p w14:paraId="493A6149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ОЭСР определяет </w:t>
      </w:r>
      <w:r w:rsidRPr="005576B3">
        <w:rPr>
          <w:sz w:val="28"/>
          <w:szCs w:val="28"/>
          <w:lang w:val="en-US" w:eastAsia="en-US" w:bidi="en-US"/>
        </w:rPr>
        <w:t xml:space="preserve">3 </w:t>
      </w:r>
      <w:r w:rsidRPr="005576B3">
        <w:rPr>
          <w:sz w:val="28"/>
          <w:szCs w:val="28"/>
        </w:rPr>
        <w:t>ключевых критерия для переходного финансирования:</w:t>
      </w:r>
    </w:p>
    <w:p w14:paraId="5FB315E5" w14:textId="77777777" w:rsidR="00A72B5C" w:rsidRPr="005576B3" w:rsidRDefault="00000000" w:rsidP="00C319DB">
      <w:pPr>
        <w:pStyle w:val="1"/>
        <w:numPr>
          <w:ilvl w:val="0"/>
          <w:numId w:val="1"/>
        </w:numPr>
        <w:tabs>
          <w:tab w:val="left" w:pos="202"/>
        </w:tabs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Отсутствие в финансируемой сфере деятельности альтернатив с нулевым или </w:t>
      </w:r>
      <w:proofErr w:type="spellStart"/>
      <w:r w:rsidRPr="005576B3">
        <w:rPr>
          <w:sz w:val="28"/>
          <w:szCs w:val="28"/>
        </w:rPr>
        <w:t>околону</w:t>
      </w:r>
      <w:proofErr w:type="spellEnd"/>
      <w:r w:rsidRPr="005576B3">
        <w:rPr>
          <w:sz w:val="28"/>
          <w:szCs w:val="28"/>
        </w:rPr>
        <w:t>- левым уровнем выбросов;</w:t>
      </w:r>
    </w:p>
    <w:p w14:paraId="745BCD00" w14:textId="77777777" w:rsidR="00A72B5C" w:rsidRPr="005576B3" w:rsidRDefault="00000000" w:rsidP="00C319DB">
      <w:pPr>
        <w:pStyle w:val="1"/>
        <w:numPr>
          <w:ilvl w:val="0"/>
          <w:numId w:val="1"/>
        </w:numPr>
        <w:tabs>
          <w:tab w:val="left" w:pos="202"/>
        </w:tabs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Приверженность заемщика пути </w:t>
      </w:r>
      <w:proofErr w:type="spellStart"/>
      <w:r w:rsidRPr="005576B3">
        <w:rPr>
          <w:sz w:val="28"/>
          <w:szCs w:val="28"/>
        </w:rPr>
        <w:t>низкоуглеродного</w:t>
      </w:r>
      <w:proofErr w:type="spellEnd"/>
      <w:r w:rsidRPr="005576B3">
        <w:rPr>
          <w:sz w:val="28"/>
          <w:szCs w:val="28"/>
        </w:rPr>
        <w:t xml:space="preserve"> перехода;</w:t>
      </w:r>
    </w:p>
    <w:p w14:paraId="00D47EE7" w14:textId="77777777" w:rsidR="00A72B5C" w:rsidRPr="005576B3" w:rsidRDefault="00000000" w:rsidP="00C319DB">
      <w:pPr>
        <w:pStyle w:val="1"/>
        <w:numPr>
          <w:ilvl w:val="0"/>
          <w:numId w:val="1"/>
        </w:numPr>
        <w:tabs>
          <w:tab w:val="left" w:pos="207"/>
        </w:tabs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Недопустимость инвестиций, которые не позволят внедрить зеленые </w:t>
      </w:r>
      <w:r w:rsidRPr="005576B3">
        <w:rPr>
          <w:sz w:val="28"/>
          <w:szCs w:val="28"/>
        </w:rPr>
        <w:lastRenderedPageBreak/>
        <w:t>альтернативы в бу</w:t>
      </w:r>
      <w:r w:rsidRPr="005576B3">
        <w:rPr>
          <w:sz w:val="28"/>
          <w:szCs w:val="28"/>
        </w:rPr>
        <w:softHyphen/>
        <w:t>дущем.</w:t>
      </w:r>
    </w:p>
    <w:p w14:paraId="731507CE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ОЭСР отмечает, что данные критерии содержатся в Таксономии ЕС вместе с принципом </w:t>
      </w:r>
      <w:r w:rsidRPr="005576B3">
        <w:rPr>
          <w:sz w:val="28"/>
          <w:szCs w:val="28"/>
          <w:lang w:val="en-US" w:eastAsia="en-US" w:bidi="en-US"/>
        </w:rPr>
        <w:t>DNSH</w:t>
      </w:r>
      <w:r w:rsidRPr="005576B3">
        <w:rPr>
          <w:sz w:val="28"/>
          <w:szCs w:val="28"/>
          <w:lang w:eastAsia="en-US" w:bidi="en-US"/>
        </w:rPr>
        <w:t xml:space="preserve">. [2] </w:t>
      </w:r>
      <w:r w:rsidRPr="005576B3">
        <w:rPr>
          <w:sz w:val="28"/>
          <w:szCs w:val="28"/>
        </w:rPr>
        <w:t>При этом в ЕС ведется работа по разработке критериев переходного финанси</w:t>
      </w:r>
      <w:r w:rsidRPr="005576B3">
        <w:rPr>
          <w:sz w:val="28"/>
          <w:szCs w:val="28"/>
        </w:rPr>
        <w:softHyphen/>
        <w:t>рования для видов деятельности без значительного негативного воздействия на окружа</w:t>
      </w:r>
      <w:r w:rsidRPr="005576B3">
        <w:rPr>
          <w:sz w:val="28"/>
          <w:szCs w:val="28"/>
        </w:rPr>
        <w:softHyphen/>
        <w:t xml:space="preserve">ющую среду и со значительным воздействием, а также по совершенствованию критериев «значительного вклада» и принципа </w:t>
      </w:r>
      <w:r w:rsidRPr="005576B3">
        <w:rPr>
          <w:sz w:val="28"/>
          <w:szCs w:val="28"/>
          <w:lang w:val="en-US" w:eastAsia="en-US" w:bidi="en-US"/>
        </w:rPr>
        <w:t>DNSH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</w:rPr>
        <w:t>для указанных видов деятельности и по учету в Таксономии видов деятельности, направленных на снижение или устранение причиняе</w:t>
      </w:r>
      <w:r w:rsidRPr="005576B3">
        <w:rPr>
          <w:sz w:val="28"/>
          <w:szCs w:val="28"/>
        </w:rPr>
        <w:softHyphen/>
        <w:t>мого компанией негативного воздействия.</w:t>
      </w:r>
    </w:p>
    <w:p w14:paraId="08D96A45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>Переходное финансирование необходимо в связи с тем, что переход промышленного секто</w:t>
      </w:r>
      <w:r w:rsidRPr="005576B3">
        <w:rPr>
          <w:sz w:val="28"/>
          <w:szCs w:val="28"/>
        </w:rPr>
        <w:softHyphen/>
        <w:t>ра к нулевым показателям выбросов и другие меры требуют значительных затрат, связан</w:t>
      </w:r>
      <w:r w:rsidRPr="005576B3">
        <w:rPr>
          <w:sz w:val="28"/>
          <w:szCs w:val="28"/>
        </w:rPr>
        <w:softHyphen/>
        <w:t>ных с повышением энергоэффективности производственных процессов, переводом энерго- и теплоснабжения с ископаемого топлива на возобновляемые источники энергии, перехо</w:t>
      </w:r>
      <w:r w:rsidRPr="005576B3">
        <w:rPr>
          <w:sz w:val="28"/>
          <w:szCs w:val="28"/>
        </w:rPr>
        <w:softHyphen/>
        <w:t xml:space="preserve">дом на </w:t>
      </w:r>
      <w:proofErr w:type="spellStart"/>
      <w:r w:rsidRPr="005576B3">
        <w:rPr>
          <w:sz w:val="28"/>
          <w:szCs w:val="28"/>
        </w:rPr>
        <w:t>низкоуглеродные</w:t>
      </w:r>
      <w:proofErr w:type="spellEnd"/>
      <w:r w:rsidRPr="005576B3">
        <w:rPr>
          <w:sz w:val="28"/>
          <w:szCs w:val="28"/>
        </w:rPr>
        <w:t xml:space="preserve"> и возобновляемые источники сырья, а также внедрением методов улавливания и хранения углерода для расширения возможностей по вторичной переработ</w:t>
      </w:r>
      <w:r w:rsidRPr="005576B3">
        <w:rPr>
          <w:sz w:val="28"/>
          <w:szCs w:val="28"/>
        </w:rPr>
        <w:softHyphen/>
        <w:t>ке материалов. В то же время инвестиции, связанные лишь с сокращением выбросов, а не с полным их прекращением, могут замедлять процесс перехода.</w:t>
      </w:r>
    </w:p>
    <w:p w14:paraId="17CE7E75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>Основным барьером к переходному финансированию является финансовый индикатор со</w:t>
      </w:r>
      <w:r w:rsidRPr="005576B3">
        <w:rPr>
          <w:sz w:val="28"/>
          <w:szCs w:val="28"/>
        </w:rPr>
        <w:softHyphen/>
        <w:t>отношения заемного капитала к собственному. Долговые инструменты не могут мобилизо</w:t>
      </w:r>
      <w:r w:rsidRPr="005576B3">
        <w:rPr>
          <w:sz w:val="28"/>
          <w:szCs w:val="28"/>
        </w:rPr>
        <w:softHyphen/>
        <w:t>вать достаточно капитала для перехода к нулевым выбросам. Но именно они на настоящий момент являются основными источниками переходного финансирования.</w:t>
      </w:r>
    </w:p>
    <w:p w14:paraId="67D61A7B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Руководство </w:t>
      </w:r>
      <w:r w:rsidRPr="005576B3">
        <w:rPr>
          <w:sz w:val="28"/>
          <w:szCs w:val="28"/>
          <w:lang w:val="en-US" w:eastAsia="en-US" w:bidi="en-US"/>
        </w:rPr>
        <w:t>ICMA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</w:rPr>
        <w:t>по финансированию климатического перехода направлено на предо</w:t>
      </w:r>
      <w:r w:rsidRPr="005576B3">
        <w:rPr>
          <w:sz w:val="28"/>
          <w:szCs w:val="28"/>
        </w:rPr>
        <w:softHyphen/>
        <w:t>ставление четких указаний и общих ожиданий участников рынков капитала в отношении практики, действий и раскрытия информации, которые должны быть доступны при при</w:t>
      </w:r>
      <w:r w:rsidRPr="005576B3">
        <w:rPr>
          <w:sz w:val="28"/>
          <w:szCs w:val="28"/>
        </w:rPr>
        <w:softHyphen/>
        <w:t>влечении средств на долговых рынках для целей, связанных с переходом к изменению климата.[3]</w:t>
      </w:r>
    </w:p>
    <w:p w14:paraId="1BC2C192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При этом </w:t>
      </w:r>
      <w:r w:rsidRPr="005576B3">
        <w:rPr>
          <w:sz w:val="28"/>
          <w:szCs w:val="28"/>
          <w:lang w:val="en-US" w:eastAsia="en-US" w:bidi="en-US"/>
        </w:rPr>
        <w:t>CBI</w:t>
      </w:r>
      <w:r w:rsidRPr="005576B3">
        <w:rPr>
          <w:sz w:val="28"/>
          <w:szCs w:val="28"/>
          <w:lang w:eastAsia="en-US" w:bidi="en-US"/>
        </w:rPr>
        <w:t xml:space="preserve"> (</w:t>
      </w:r>
      <w:r w:rsidRPr="005576B3">
        <w:rPr>
          <w:sz w:val="28"/>
          <w:szCs w:val="28"/>
          <w:lang w:val="en-US" w:eastAsia="en-US" w:bidi="en-US"/>
        </w:rPr>
        <w:t>Climate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  <w:lang w:val="en-US" w:eastAsia="en-US" w:bidi="en-US"/>
        </w:rPr>
        <w:t>Bonds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  <w:lang w:val="en-US" w:eastAsia="en-US" w:bidi="en-US"/>
        </w:rPr>
        <w:t>Initiative</w:t>
      </w:r>
      <w:r w:rsidRPr="005576B3">
        <w:rPr>
          <w:sz w:val="28"/>
          <w:szCs w:val="28"/>
          <w:lang w:eastAsia="en-US" w:bidi="en-US"/>
        </w:rPr>
        <w:t xml:space="preserve">) </w:t>
      </w:r>
      <w:r w:rsidRPr="005576B3">
        <w:rPr>
          <w:sz w:val="28"/>
          <w:szCs w:val="28"/>
        </w:rPr>
        <w:t>предлагает использовать «переходный» в назва</w:t>
      </w:r>
      <w:r w:rsidRPr="005576B3">
        <w:rPr>
          <w:sz w:val="28"/>
          <w:szCs w:val="28"/>
        </w:rPr>
        <w:softHyphen/>
        <w:t>нии, давая определение «облигациям переходного периода» как инструментам использо</w:t>
      </w:r>
      <w:r w:rsidRPr="005576B3">
        <w:rPr>
          <w:sz w:val="28"/>
          <w:szCs w:val="28"/>
        </w:rPr>
        <w:softHyphen/>
        <w:t>вания дохода, которые применяются для финансирования деятельности или организаций, не являющихся зелеными, но стремящихся к декарбонизации и достижению целей Париж</w:t>
      </w:r>
      <w:r w:rsidRPr="005576B3">
        <w:rPr>
          <w:sz w:val="28"/>
          <w:szCs w:val="28"/>
        </w:rPr>
        <w:softHyphen/>
        <w:t xml:space="preserve">ского соглашения. СВ1 разрабатываются критерии и отраслевые стандарты по облигациям и кредитам для химической промышленности, производства цемента, стали, </w:t>
      </w:r>
      <w:proofErr w:type="spellStart"/>
      <w:r w:rsidRPr="005576B3">
        <w:rPr>
          <w:sz w:val="28"/>
          <w:szCs w:val="28"/>
        </w:rPr>
        <w:t>горнодобычи</w:t>
      </w:r>
      <w:proofErr w:type="spellEnd"/>
      <w:r w:rsidRPr="005576B3">
        <w:rPr>
          <w:sz w:val="28"/>
          <w:szCs w:val="28"/>
        </w:rPr>
        <w:t>, сельского хозяйства, улавливания и хранения углерода.[4]</w:t>
      </w:r>
    </w:p>
    <w:p w14:paraId="1988AC33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Стоит отметить, что до сих пор не существует единого международного </w:t>
      </w:r>
      <w:r w:rsidRPr="005576B3">
        <w:rPr>
          <w:sz w:val="28"/>
          <w:szCs w:val="28"/>
        </w:rPr>
        <w:lastRenderedPageBreak/>
        <w:t>стандарта для корпоративного плана перехода, как и нет единого определения. В целом это сквозной план действий, в котором излагается, как именно компания реализует стратегию перехо</w:t>
      </w:r>
      <w:r w:rsidRPr="005576B3">
        <w:rPr>
          <w:sz w:val="28"/>
          <w:szCs w:val="28"/>
        </w:rPr>
        <w:softHyphen/>
        <w:t>да и достижения целей по снижению выбросов, которые согласуются с целями Парижского соглашения, что включает целевые показатели, предпринимаемые действия и механизмы отчетности. До сих пор не существует единого международного определения концепции переходного финансирования. Подход транзитного финансирования является наиболее ин</w:t>
      </w:r>
      <w:r w:rsidRPr="005576B3">
        <w:rPr>
          <w:sz w:val="28"/>
          <w:szCs w:val="28"/>
        </w:rPr>
        <w:softHyphen/>
        <w:t xml:space="preserve">клюзивным с точки зрения охвата разных видов деятельности среди всех существующих видов устойчивого финансирования, однако такой охват сильно повышает риски </w:t>
      </w:r>
      <w:proofErr w:type="spellStart"/>
      <w:r w:rsidRPr="005576B3">
        <w:rPr>
          <w:sz w:val="28"/>
          <w:szCs w:val="28"/>
        </w:rPr>
        <w:t>гринво</w:t>
      </w:r>
      <w:proofErr w:type="spellEnd"/>
      <w:r w:rsidRPr="005576B3">
        <w:rPr>
          <w:sz w:val="28"/>
          <w:szCs w:val="28"/>
        </w:rPr>
        <w:t xml:space="preserve">- </w:t>
      </w:r>
      <w:proofErr w:type="spellStart"/>
      <w:r w:rsidRPr="005576B3">
        <w:rPr>
          <w:sz w:val="28"/>
          <w:szCs w:val="28"/>
        </w:rPr>
        <w:t>шинга</w:t>
      </w:r>
      <w:proofErr w:type="spellEnd"/>
      <w:r w:rsidRPr="005576B3">
        <w:rPr>
          <w:sz w:val="28"/>
          <w:szCs w:val="28"/>
        </w:rPr>
        <w:t>. Чтобы снизить такие риски, ОЭСР выпустила Руководство по транзитному фи</w:t>
      </w:r>
      <w:r w:rsidRPr="005576B3">
        <w:rPr>
          <w:sz w:val="28"/>
          <w:szCs w:val="28"/>
        </w:rPr>
        <w:softHyphen/>
        <w:t>нансированию. В Руководстве предлагается включать в государственные и корпоративные планы углеродного перехода существующие инструменты в сфере устойчивого финанси</w:t>
      </w:r>
      <w:r w:rsidRPr="005576B3">
        <w:rPr>
          <w:sz w:val="28"/>
          <w:szCs w:val="28"/>
        </w:rPr>
        <w:softHyphen/>
        <w:t>рования и ответственного ведения бизнеса. В Руководстве выделяются области, в которых такие инструменты, как таксономии, показатели и цели на уровне компании, методологии оценки соответствия климату, стандарты отчетности в области устойчивого развития и другие, могут повысить доверие к корпоративным планам перехода. Рекомендуется учи</w:t>
      </w:r>
      <w:r w:rsidRPr="005576B3">
        <w:rPr>
          <w:sz w:val="28"/>
          <w:szCs w:val="28"/>
        </w:rPr>
        <w:softHyphen/>
        <w:t xml:space="preserve">тывать для разработки переходных планов Руководство ОЭСР для МНК и Руководство по должной осмотрительности в сфере ОВБ, в том числе для оценки неблагоприятных климатических эффектов. Руководство вводит понятие «эффективный переходный план» </w:t>
      </w:r>
      <w:r w:rsidRPr="005576B3">
        <w:rPr>
          <w:sz w:val="28"/>
          <w:szCs w:val="28"/>
          <w:lang w:eastAsia="en-US" w:bidi="en-US"/>
        </w:rPr>
        <w:t>(«</w:t>
      </w:r>
      <w:r w:rsidRPr="005576B3">
        <w:rPr>
          <w:sz w:val="28"/>
          <w:szCs w:val="28"/>
          <w:lang w:val="en-US" w:eastAsia="en-US" w:bidi="en-US"/>
        </w:rPr>
        <w:t>credible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  <w:lang w:val="en-US" w:eastAsia="en-US" w:bidi="en-US"/>
        </w:rPr>
        <w:t>transition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  <w:lang w:val="en-US" w:eastAsia="en-US" w:bidi="en-US"/>
        </w:rPr>
        <w:t>plan</w:t>
      </w:r>
      <w:r w:rsidRPr="005576B3">
        <w:rPr>
          <w:sz w:val="28"/>
          <w:szCs w:val="28"/>
          <w:lang w:eastAsia="en-US" w:bidi="en-US"/>
        </w:rPr>
        <w:t xml:space="preserve">») </w:t>
      </w:r>
      <w:r w:rsidRPr="005576B3">
        <w:rPr>
          <w:sz w:val="28"/>
          <w:szCs w:val="28"/>
        </w:rPr>
        <w:t>и выделяет 10 критериев для оценки таких планов, в том числе недопустимость вложений в активы, которые сделают невозможным достижение компани</w:t>
      </w:r>
      <w:r w:rsidRPr="005576B3">
        <w:rPr>
          <w:sz w:val="28"/>
          <w:szCs w:val="28"/>
        </w:rPr>
        <w:softHyphen/>
        <w:t xml:space="preserve">ей нулевых выбросов в будущем </w:t>
      </w:r>
      <w:r w:rsidRPr="005576B3">
        <w:rPr>
          <w:sz w:val="28"/>
          <w:szCs w:val="28"/>
          <w:lang w:eastAsia="en-US" w:bidi="en-US"/>
        </w:rPr>
        <w:t>(</w:t>
      </w:r>
      <w:r w:rsidRPr="005576B3">
        <w:rPr>
          <w:sz w:val="28"/>
          <w:szCs w:val="28"/>
          <w:lang w:val="en-US" w:eastAsia="en-US" w:bidi="en-US"/>
        </w:rPr>
        <w:t>lock</w:t>
      </w:r>
      <w:r w:rsidRPr="005576B3">
        <w:rPr>
          <w:sz w:val="28"/>
          <w:szCs w:val="28"/>
          <w:lang w:eastAsia="en-US" w:bidi="en-US"/>
        </w:rPr>
        <w:t>-</w:t>
      </w:r>
      <w:r w:rsidRPr="005576B3">
        <w:rPr>
          <w:sz w:val="28"/>
          <w:szCs w:val="28"/>
          <w:lang w:val="en-US" w:eastAsia="en-US" w:bidi="en-US"/>
        </w:rPr>
        <w:t>ins</w:t>
      </w:r>
      <w:r w:rsidRPr="005576B3">
        <w:rPr>
          <w:sz w:val="28"/>
          <w:szCs w:val="28"/>
          <w:lang w:eastAsia="en-US" w:bidi="en-US"/>
        </w:rPr>
        <w:t xml:space="preserve">), </w:t>
      </w:r>
      <w:r w:rsidRPr="005576B3">
        <w:rPr>
          <w:sz w:val="28"/>
          <w:szCs w:val="28"/>
        </w:rPr>
        <w:t>внедрение практик по ответственному раннему выбытию загрязняющих активов и т.д. Критически важный элемент транзитного финан</w:t>
      </w:r>
      <w:r w:rsidRPr="005576B3">
        <w:rPr>
          <w:sz w:val="28"/>
          <w:szCs w:val="28"/>
        </w:rPr>
        <w:softHyphen/>
        <w:t>сирования - соблюдение прав трудящихся, представителей местных сообществ и т.д. в рам</w:t>
      </w:r>
      <w:r w:rsidRPr="005576B3">
        <w:rPr>
          <w:sz w:val="28"/>
          <w:szCs w:val="28"/>
        </w:rPr>
        <w:softHyphen/>
        <w:t xml:space="preserve">ках реализации переходных проектов. Руководство будет пересматриваться, его элементы могут быть отражены в будущей работе и документах ОЭСР по ответственному ведению бизнеса и </w:t>
      </w:r>
      <w:r w:rsidRPr="005576B3">
        <w:rPr>
          <w:sz w:val="28"/>
          <w:szCs w:val="28"/>
          <w:lang w:val="en-US" w:eastAsia="en-US" w:bidi="en-US"/>
        </w:rPr>
        <w:t>ESG</w:t>
      </w:r>
      <w:r w:rsidRPr="005576B3">
        <w:rPr>
          <w:sz w:val="28"/>
          <w:szCs w:val="28"/>
        </w:rPr>
        <w:t>-</w:t>
      </w:r>
      <w:proofErr w:type="spellStart"/>
      <w:r w:rsidRPr="005576B3">
        <w:rPr>
          <w:sz w:val="28"/>
          <w:szCs w:val="28"/>
        </w:rPr>
        <w:t>метрикам.Что</w:t>
      </w:r>
      <w:proofErr w:type="spellEnd"/>
      <w:r w:rsidRPr="005576B3">
        <w:rPr>
          <w:sz w:val="28"/>
          <w:szCs w:val="28"/>
        </w:rPr>
        <w:t xml:space="preserve"> касается инициатив стран, в ЕС Еврокомиссия опубликовала законодательное предложение по Директиве о корпоративной отчетности в области устой</w:t>
      </w:r>
      <w:r w:rsidRPr="005576B3">
        <w:rPr>
          <w:sz w:val="28"/>
          <w:szCs w:val="28"/>
        </w:rPr>
        <w:softHyphen/>
        <w:t>чивого развития, которая обяжет компании отчитываться в соответствии с европейскими стандартами отчетности в области устойчивого развития, то есть предоставлять инфор</w:t>
      </w:r>
      <w:r w:rsidRPr="005576B3">
        <w:rPr>
          <w:sz w:val="28"/>
          <w:szCs w:val="28"/>
        </w:rPr>
        <w:softHyphen/>
        <w:t>мацию о любых установленных целях устойчивого развития, ходе их достижения, мерах обеспечения соответствия бизнес-стратегии переходу к устойчивой экономике с ограниче</w:t>
      </w:r>
      <w:r w:rsidRPr="005576B3">
        <w:rPr>
          <w:sz w:val="28"/>
          <w:szCs w:val="28"/>
        </w:rPr>
        <w:softHyphen/>
        <w:t>нием глобального потепления согласно Парижскому соглашению.</w:t>
      </w:r>
    </w:p>
    <w:p w14:paraId="2B42CFCF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Комиссия по ценным бумагам США также предложила изменения по </w:t>
      </w:r>
      <w:r w:rsidRPr="005576B3">
        <w:rPr>
          <w:sz w:val="28"/>
          <w:szCs w:val="28"/>
        </w:rPr>
        <w:lastRenderedPageBreak/>
        <w:t>раскрытию ин</w:t>
      </w:r>
      <w:r w:rsidRPr="005576B3">
        <w:rPr>
          <w:sz w:val="28"/>
          <w:szCs w:val="28"/>
        </w:rPr>
        <w:softHyphen/>
        <w:t>формации, чтобы компании отчитывались о связанных с климатом рисках и целевых по</w:t>
      </w:r>
      <w:r w:rsidRPr="005576B3">
        <w:rPr>
          <w:sz w:val="28"/>
          <w:szCs w:val="28"/>
        </w:rPr>
        <w:softHyphen/>
        <w:t>казателях, задачах и планах перехода, а также действиях, предпринятых в течение года для достижения целей плана.[5]</w:t>
      </w:r>
    </w:p>
    <w:p w14:paraId="3D2B0347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>В Великобритании планируется сделать публикацию планов перехода обязательной. Для разработки стандарта планов перехода была создана Рабочая группа по планам перехо</w:t>
      </w:r>
      <w:r w:rsidRPr="005576B3">
        <w:rPr>
          <w:sz w:val="28"/>
          <w:szCs w:val="28"/>
        </w:rPr>
        <w:softHyphen/>
        <w:t>да. Планы перехода компаний должны включать целевые показатели, которые компании используют для снижения климатических рисков, промежуточные этапы и практические шаги для достижения целей.[6]</w:t>
      </w:r>
    </w:p>
    <w:p w14:paraId="362994C8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Основные руководящие принципы Японии по переходному финансированию на </w:t>
      </w:r>
      <w:r w:rsidRPr="005576B3">
        <w:rPr>
          <w:sz w:val="28"/>
          <w:szCs w:val="28"/>
          <w:lang w:eastAsia="en-US" w:bidi="en-US"/>
        </w:rPr>
        <w:t xml:space="preserve">2021 </w:t>
      </w:r>
      <w:r w:rsidRPr="005576B3">
        <w:rPr>
          <w:sz w:val="28"/>
          <w:szCs w:val="28"/>
        </w:rPr>
        <w:t xml:space="preserve">год выдвигают ряд положений по раскрытию информации о стратегиях, действиях и планах компаний в соответствии с Руководством </w:t>
      </w:r>
      <w:r w:rsidRPr="005576B3">
        <w:rPr>
          <w:sz w:val="28"/>
          <w:szCs w:val="28"/>
          <w:lang w:val="en-US" w:eastAsia="en-US" w:bidi="en-US"/>
        </w:rPr>
        <w:t>ICMA</w:t>
      </w:r>
      <w:r w:rsidRPr="005576B3">
        <w:rPr>
          <w:sz w:val="28"/>
          <w:szCs w:val="28"/>
          <w:lang w:eastAsia="en-US" w:bidi="en-US"/>
        </w:rPr>
        <w:t xml:space="preserve"> </w:t>
      </w:r>
      <w:r w:rsidRPr="005576B3">
        <w:rPr>
          <w:sz w:val="28"/>
          <w:szCs w:val="28"/>
        </w:rPr>
        <w:t>по переходному финансированию. Рас</w:t>
      </w:r>
      <w:r w:rsidRPr="005576B3">
        <w:rPr>
          <w:sz w:val="28"/>
          <w:szCs w:val="28"/>
        </w:rPr>
        <w:softHyphen/>
        <w:t>крытие предполагается в общей отчетности компании, отчетности по устойчивому раз</w:t>
      </w:r>
      <w:r w:rsidRPr="005576B3">
        <w:rPr>
          <w:sz w:val="28"/>
          <w:szCs w:val="28"/>
        </w:rPr>
        <w:softHyphen/>
        <w:t>витию и уставных документах. Причем должны быть раскрыты целевые показатели на краткосрочную, среднесрочную и долгосрочную перспективу. Компании также должны показать, что вопросы изменения климата являются значимой частью их деятельности.[7] Анализ опыта зарубежных стран показывает, что подходы стран и негосударственных организаций к регулированию переходного финансирования отличаются от российских. Некоторые из таких отличий могут стать барьерами как для развития российских механиз</w:t>
      </w:r>
      <w:r w:rsidRPr="005576B3">
        <w:rPr>
          <w:sz w:val="28"/>
          <w:szCs w:val="28"/>
        </w:rPr>
        <w:softHyphen/>
        <w:t>мов устойчивого финансирования, так и для привлечения инвестиций в российские устой</w:t>
      </w:r>
      <w:r w:rsidRPr="005576B3">
        <w:rPr>
          <w:sz w:val="28"/>
          <w:szCs w:val="28"/>
        </w:rPr>
        <w:softHyphen/>
        <w:t>чивые проекты. Проблема состоит в фактическом отсутствии в российских Критериях устойчивого (в том числе зеленого) развития в РФ определения переходных проектов, для которых устанавливаются условия отсутствия зеленых альтернатив в сфере деятельности (ЕС) или невозможность декарбонизации деятельности (Япония). В России под адапта</w:t>
      </w:r>
      <w:r w:rsidRPr="005576B3">
        <w:rPr>
          <w:sz w:val="28"/>
          <w:szCs w:val="28"/>
        </w:rPr>
        <w:softHyphen/>
        <w:t>ционными понимаются проекты, одновременно соответствующие одному или нескольким основным направлениям устойчивого развития (обращение с отходами, энергетика, стро</w:t>
      </w:r>
      <w:r w:rsidRPr="005576B3">
        <w:rPr>
          <w:sz w:val="28"/>
          <w:szCs w:val="28"/>
        </w:rPr>
        <w:softHyphen/>
        <w:t>ительство и др.). Адаптационные проекты могут признаваться соответствующими целям и основным направлениям, если соответствуют количественным и качественным крите</w:t>
      </w:r>
      <w:r w:rsidRPr="005576B3">
        <w:rPr>
          <w:sz w:val="28"/>
          <w:szCs w:val="28"/>
        </w:rPr>
        <w:softHyphen/>
        <w:t>риям адаптационных проектов и удовлетворяют принципам, установленным для зеленых проектов.[8]</w:t>
      </w:r>
    </w:p>
    <w:p w14:paraId="743D9C43" w14:textId="77777777" w:rsidR="00A72B5C" w:rsidRPr="005576B3" w:rsidRDefault="00000000" w:rsidP="00C319DB">
      <w:pPr>
        <w:pStyle w:val="1"/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>Указанный подход не вполне соответствует международным практикам определения пе</w:t>
      </w:r>
      <w:r w:rsidRPr="005576B3">
        <w:rPr>
          <w:sz w:val="28"/>
          <w:szCs w:val="28"/>
        </w:rPr>
        <w:softHyphen/>
        <w:t xml:space="preserve">реходного финансирования, что создает риск невозможности привлечения иностранного финансирования в российские адаптационные проекты. В связи с этим представляется необходимым разработать и принять дополнения в Таксономию адаптационных проектов в РФ, утвержденных </w:t>
      </w:r>
      <w:r w:rsidRPr="005576B3">
        <w:rPr>
          <w:sz w:val="28"/>
          <w:szCs w:val="28"/>
        </w:rPr>
        <w:lastRenderedPageBreak/>
        <w:t xml:space="preserve">Постановлением Правительства РФ от </w:t>
      </w:r>
      <w:r w:rsidRPr="005576B3">
        <w:rPr>
          <w:sz w:val="28"/>
          <w:szCs w:val="28"/>
          <w:lang w:eastAsia="en-US" w:bidi="en-US"/>
        </w:rPr>
        <w:t xml:space="preserve">21.09.2021 №1587, </w:t>
      </w:r>
      <w:r w:rsidRPr="005576B3">
        <w:rPr>
          <w:sz w:val="28"/>
          <w:szCs w:val="28"/>
        </w:rPr>
        <w:t>направлен</w:t>
      </w:r>
      <w:r w:rsidRPr="005576B3">
        <w:rPr>
          <w:sz w:val="28"/>
          <w:szCs w:val="28"/>
        </w:rPr>
        <w:softHyphen/>
        <w:t>ные на установление следующих критериев переходного финансирования:</w:t>
      </w:r>
    </w:p>
    <w:p w14:paraId="7AA0ADD9" w14:textId="500CFF6B" w:rsidR="00A72B5C" w:rsidRPr="005576B3" w:rsidRDefault="00000000" w:rsidP="00C319DB">
      <w:pPr>
        <w:pStyle w:val="1"/>
        <w:numPr>
          <w:ilvl w:val="0"/>
          <w:numId w:val="2"/>
        </w:numPr>
        <w:tabs>
          <w:tab w:val="left" w:pos="298"/>
        </w:tabs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Отсутствие в финансируемой сфере деятельности альтернатив с нулевым или </w:t>
      </w:r>
      <w:proofErr w:type="spellStart"/>
      <w:r w:rsidRPr="005576B3">
        <w:rPr>
          <w:sz w:val="28"/>
          <w:szCs w:val="28"/>
        </w:rPr>
        <w:t>околонулевым</w:t>
      </w:r>
      <w:proofErr w:type="spellEnd"/>
      <w:r w:rsidRPr="005576B3">
        <w:rPr>
          <w:sz w:val="28"/>
          <w:szCs w:val="28"/>
        </w:rPr>
        <w:t xml:space="preserve"> уровнем выбросов;</w:t>
      </w:r>
    </w:p>
    <w:p w14:paraId="013A5340" w14:textId="77777777" w:rsidR="00A72B5C" w:rsidRPr="005576B3" w:rsidRDefault="00000000" w:rsidP="00C319DB">
      <w:pPr>
        <w:pStyle w:val="1"/>
        <w:numPr>
          <w:ilvl w:val="0"/>
          <w:numId w:val="2"/>
        </w:numPr>
        <w:tabs>
          <w:tab w:val="left" w:pos="289"/>
        </w:tabs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Приверженность заемщика пути </w:t>
      </w:r>
      <w:proofErr w:type="spellStart"/>
      <w:r w:rsidRPr="005576B3">
        <w:rPr>
          <w:sz w:val="28"/>
          <w:szCs w:val="28"/>
        </w:rPr>
        <w:t>низкоуглеродного</w:t>
      </w:r>
      <w:proofErr w:type="spellEnd"/>
      <w:r w:rsidRPr="005576B3">
        <w:rPr>
          <w:sz w:val="28"/>
          <w:szCs w:val="28"/>
        </w:rPr>
        <w:t xml:space="preserve"> перехода;</w:t>
      </w:r>
    </w:p>
    <w:p w14:paraId="359863A4" w14:textId="77777777" w:rsidR="00A72B5C" w:rsidRPr="005576B3" w:rsidRDefault="00000000" w:rsidP="00C319DB">
      <w:pPr>
        <w:pStyle w:val="1"/>
        <w:numPr>
          <w:ilvl w:val="0"/>
          <w:numId w:val="2"/>
        </w:numPr>
        <w:tabs>
          <w:tab w:val="left" w:pos="294"/>
        </w:tabs>
        <w:ind w:firstLine="709"/>
        <w:jc w:val="both"/>
        <w:rPr>
          <w:sz w:val="28"/>
          <w:szCs w:val="28"/>
        </w:rPr>
      </w:pPr>
      <w:r w:rsidRPr="005576B3">
        <w:rPr>
          <w:sz w:val="28"/>
          <w:szCs w:val="28"/>
        </w:rPr>
        <w:t>Недопустимость инвестиций, которые не позволят внедрить зеленые альтернативы в будущем.</w:t>
      </w:r>
    </w:p>
    <w:p w14:paraId="43986D05" w14:textId="77777777" w:rsidR="00C319DB" w:rsidRPr="005576B3" w:rsidRDefault="00C319DB">
      <w:pPr>
        <w:rPr>
          <w:rFonts w:ascii="Times New Roman" w:eastAsia="Arial" w:hAnsi="Times New Roman" w:cs="Times New Roman"/>
          <w:sz w:val="28"/>
          <w:szCs w:val="28"/>
        </w:rPr>
      </w:pPr>
      <w:r w:rsidRPr="005576B3">
        <w:rPr>
          <w:rFonts w:ascii="Times New Roman" w:hAnsi="Times New Roman" w:cs="Times New Roman"/>
          <w:sz w:val="28"/>
          <w:szCs w:val="28"/>
        </w:rPr>
        <w:br w:type="page"/>
      </w:r>
    </w:p>
    <w:p w14:paraId="3233568F" w14:textId="6DE6A016" w:rsidR="00A72B5C" w:rsidRPr="005576B3" w:rsidRDefault="00000000" w:rsidP="00C319DB">
      <w:pPr>
        <w:pStyle w:val="20"/>
        <w:spacing w:line="30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B3">
        <w:rPr>
          <w:rFonts w:ascii="Times New Roman" w:hAnsi="Times New Roman" w:cs="Times New Roman"/>
          <w:sz w:val="28"/>
          <w:szCs w:val="28"/>
        </w:rPr>
        <w:lastRenderedPageBreak/>
        <w:t>Источники и литература</w:t>
      </w:r>
    </w:p>
    <w:p w14:paraId="768C71EE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597"/>
        </w:tabs>
        <w:ind w:left="360" w:hanging="360"/>
        <w:jc w:val="both"/>
        <w:rPr>
          <w:sz w:val="28"/>
          <w:szCs w:val="28"/>
        </w:rPr>
      </w:pPr>
      <w:r w:rsidRPr="005576B3">
        <w:rPr>
          <w:sz w:val="28"/>
          <w:szCs w:val="28"/>
          <w:lang w:val="en-US" w:eastAsia="en-US" w:bidi="en-US"/>
        </w:rPr>
        <w:t>OECD Guidance on Transition Finance: Ensuring Credibility of Corporate Climate Transition Plans, Green Finance and Investment, OECD Publishing, Paris,</w:t>
      </w:r>
      <w:hyperlink r:id="rId8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https://doi.</w:t>
        </w:r>
      </w:hyperlink>
      <w:r w:rsidRPr="005576B3">
        <w:rPr>
          <w:color w:val="340DAB"/>
          <w:sz w:val="28"/>
          <w:szCs w:val="28"/>
          <w:lang w:val="en-US" w:eastAsia="en-US" w:bidi="en-US"/>
        </w:rPr>
        <w:t xml:space="preserve"> </w:t>
      </w:r>
      <w:hyperlink r:id="rId9" w:history="1">
        <w:r w:rsidRPr="005576B3">
          <w:rPr>
            <w:color w:val="340DAB"/>
            <w:sz w:val="28"/>
            <w:szCs w:val="28"/>
            <w:lang w:val="en-US" w:eastAsia="en-US" w:bidi="en-US"/>
          </w:rPr>
          <w:t>org/10.1787/7c68a1ee-en.</w:t>
        </w:r>
      </w:hyperlink>
    </w:p>
    <w:p w14:paraId="04FBAA54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597"/>
        </w:tabs>
        <w:ind w:left="360" w:hanging="360"/>
        <w:jc w:val="both"/>
        <w:rPr>
          <w:sz w:val="28"/>
          <w:szCs w:val="28"/>
          <w:lang w:val="en-US"/>
        </w:rPr>
      </w:pPr>
      <w:r w:rsidRPr="005576B3">
        <w:rPr>
          <w:sz w:val="28"/>
          <w:szCs w:val="28"/>
          <w:lang w:val="en-US" w:eastAsia="en-US" w:bidi="en-US"/>
        </w:rPr>
        <w:t>European Parliament. Regulation (EU) 2020/852 on the establishment of a framework to facilitate sustainable investment, and amending Regulation (EU) 2019/2088 // Official Journal of the European Union. 2020. URL:</w:t>
      </w:r>
      <w:hyperlink r:id="rId10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https://eur-lex.euro</w:t>
        </w:r>
      </w:hyperlink>
      <w:r w:rsidRPr="005576B3">
        <w:rPr>
          <w:color w:val="340DAB"/>
          <w:sz w:val="28"/>
          <w:szCs w:val="28"/>
          <w:lang w:val="en-US" w:eastAsia="en-US" w:bidi="en-US"/>
        </w:rPr>
        <w:t xml:space="preserve"> </w:t>
      </w:r>
      <w:hyperlink r:id="rId11" w:history="1">
        <w:r w:rsidRPr="005576B3">
          <w:rPr>
            <w:color w:val="340DAB"/>
            <w:sz w:val="28"/>
            <w:szCs w:val="28"/>
            <w:lang w:val="en-US" w:eastAsia="en-US" w:bidi="en-US"/>
          </w:rPr>
          <w:t>pa.eu/legal-content/EN/TXT/HTML/?uri=CELEX</w:t>
        </w:r>
      </w:hyperlink>
      <w:r w:rsidRPr="005576B3">
        <w:rPr>
          <w:sz w:val="28"/>
          <w:szCs w:val="28"/>
          <w:lang w:val="en-US" w:eastAsia="en-US" w:bidi="en-US"/>
        </w:rPr>
        <w:t>:32020R0852&amp;from=EN#ntr69- L_2020198EN.01001301-E0069</w:t>
      </w:r>
    </w:p>
    <w:p w14:paraId="45C21D86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638"/>
        </w:tabs>
        <w:ind w:left="360" w:hanging="360"/>
        <w:jc w:val="both"/>
        <w:rPr>
          <w:sz w:val="28"/>
          <w:szCs w:val="28"/>
          <w:lang w:val="en-US"/>
        </w:rPr>
      </w:pPr>
      <w:r w:rsidRPr="005576B3">
        <w:rPr>
          <w:sz w:val="28"/>
          <w:szCs w:val="28"/>
          <w:lang w:val="en-US" w:eastAsia="en-US" w:bidi="en-US"/>
        </w:rPr>
        <w:t>ICMA. Climate Transition Finance Handbook. 2020. URL:</w:t>
      </w:r>
      <w:hyperlink r:id="rId12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https://www.icmagroup.or</w:t>
        </w:r>
      </w:hyperlink>
      <w:r w:rsidRPr="005576B3">
        <w:rPr>
          <w:color w:val="340DAB"/>
          <w:sz w:val="28"/>
          <w:szCs w:val="28"/>
          <w:lang w:val="en-US" w:eastAsia="en-US" w:bidi="en-US"/>
        </w:rPr>
        <w:t xml:space="preserve"> </w:t>
      </w:r>
      <w:hyperlink r:id="rId13" w:history="1">
        <w:r w:rsidRPr="005576B3">
          <w:rPr>
            <w:color w:val="340DAB"/>
            <w:sz w:val="28"/>
            <w:szCs w:val="28"/>
            <w:lang w:val="en-US" w:eastAsia="en-US" w:bidi="en-US"/>
          </w:rPr>
          <w:t>g/assets/documents/Regulatory/Green-Bonds/Climate-Transition-Finance-Handboo</w:t>
        </w:r>
      </w:hyperlink>
      <w:r w:rsidRPr="005576B3">
        <w:rPr>
          <w:color w:val="340DAB"/>
          <w:sz w:val="28"/>
          <w:szCs w:val="28"/>
          <w:lang w:val="en-US" w:eastAsia="en-US" w:bidi="en-US"/>
        </w:rPr>
        <w:t xml:space="preserve"> </w:t>
      </w:r>
      <w:hyperlink r:id="rId14" w:history="1">
        <w:r w:rsidRPr="005576B3">
          <w:rPr>
            <w:color w:val="340DAB"/>
            <w:sz w:val="28"/>
            <w:szCs w:val="28"/>
            <w:lang w:val="en-US" w:eastAsia="en-US" w:bidi="en-US"/>
          </w:rPr>
          <w:t>k-December-2020-091220.pdf</w:t>
        </w:r>
      </w:hyperlink>
    </w:p>
    <w:p w14:paraId="42F382AF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643"/>
        </w:tabs>
        <w:ind w:left="360" w:hanging="360"/>
        <w:jc w:val="both"/>
        <w:rPr>
          <w:sz w:val="28"/>
          <w:szCs w:val="28"/>
          <w:lang w:val="en-US"/>
        </w:rPr>
      </w:pPr>
      <w:r w:rsidRPr="005576B3">
        <w:rPr>
          <w:sz w:val="28"/>
          <w:szCs w:val="28"/>
          <w:lang w:val="en-US" w:eastAsia="en-US" w:bidi="en-US"/>
        </w:rPr>
        <w:t>CBI. Financing credible transitions: How to ensure the transition label has impact. 2020. URL:</w:t>
      </w:r>
      <w:hyperlink r:id="rId15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https://www.climatebonds.net/files/reports/cbi_fincredtransitions_final.pdf</w:t>
        </w:r>
      </w:hyperlink>
    </w:p>
    <w:p w14:paraId="12E947B9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638"/>
        </w:tabs>
        <w:ind w:left="360" w:hanging="360"/>
        <w:jc w:val="both"/>
        <w:rPr>
          <w:sz w:val="28"/>
          <w:szCs w:val="28"/>
        </w:rPr>
      </w:pPr>
      <w:r w:rsidRPr="005576B3">
        <w:rPr>
          <w:sz w:val="28"/>
          <w:szCs w:val="28"/>
          <w:lang w:val="en-US" w:eastAsia="en-US" w:bidi="en-US"/>
        </w:rPr>
        <w:t>SEC Proposes Rules to Enhance and Standardize Climate-Related Disclosures for Investors. 2022. URL:</w:t>
      </w:r>
      <w:hyperlink r:id="rId16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https://www.sec.gov/news/press-release/2022-46</w:t>
        </w:r>
      </w:hyperlink>
    </w:p>
    <w:p w14:paraId="1A713703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638"/>
        </w:tabs>
        <w:ind w:left="360" w:hanging="360"/>
        <w:jc w:val="both"/>
        <w:rPr>
          <w:sz w:val="28"/>
          <w:szCs w:val="28"/>
          <w:lang w:val="en-US"/>
        </w:rPr>
      </w:pPr>
      <w:r w:rsidRPr="005576B3">
        <w:rPr>
          <w:sz w:val="28"/>
          <w:szCs w:val="28"/>
          <w:lang w:val="en-US" w:eastAsia="en-US" w:bidi="en-US"/>
        </w:rPr>
        <w:t>The Transition Plan Taskforce Summary recommendations. URL:</w:t>
      </w:r>
      <w:hyperlink r:id="rId17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https://transitionta</w:t>
        </w:r>
      </w:hyperlink>
      <w:r w:rsidRPr="005576B3">
        <w:rPr>
          <w:color w:val="340DAB"/>
          <w:sz w:val="28"/>
          <w:szCs w:val="28"/>
          <w:lang w:val="en-US" w:eastAsia="en-US" w:bidi="en-US"/>
        </w:rPr>
        <w:t xml:space="preserve"> </w:t>
      </w:r>
      <w:hyperlink r:id="rId18" w:history="1">
        <w:r w:rsidRPr="005576B3">
          <w:rPr>
            <w:color w:val="340DAB"/>
            <w:sz w:val="28"/>
            <w:szCs w:val="28"/>
            <w:lang w:val="en-US" w:eastAsia="en-US" w:bidi="en-US"/>
          </w:rPr>
          <w:t>skforce.net/wp-content/uploads/2022/11/TPT-Summary-Recommendationst.pdf</w:t>
        </w:r>
      </w:hyperlink>
    </w:p>
    <w:p w14:paraId="0458276A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638"/>
        </w:tabs>
        <w:ind w:left="360" w:hanging="360"/>
        <w:jc w:val="both"/>
        <w:rPr>
          <w:sz w:val="28"/>
          <w:szCs w:val="28"/>
          <w:lang w:val="en-US"/>
        </w:rPr>
      </w:pPr>
      <w:r w:rsidRPr="005576B3">
        <w:rPr>
          <w:sz w:val="28"/>
          <w:szCs w:val="28"/>
          <w:lang w:val="en-US" w:eastAsia="en-US" w:bidi="en-US"/>
        </w:rPr>
        <w:t>FSA. Basic Guidelines on Climate Transition Finance. 2021. URL:</w:t>
      </w:r>
      <w:hyperlink r:id="rId19" w:history="1">
        <w:r w:rsidRPr="005576B3">
          <w:rPr>
            <w:sz w:val="28"/>
            <w:szCs w:val="28"/>
            <w:lang w:val="en-US"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https://www.fsa.go.j</w:t>
        </w:r>
      </w:hyperlink>
      <w:r w:rsidRPr="005576B3">
        <w:rPr>
          <w:color w:val="340DAB"/>
          <w:sz w:val="28"/>
          <w:szCs w:val="28"/>
          <w:lang w:val="en-US" w:eastAsia="en-US" w:bidi="en-US"/>
        </w:rPr>
        <w:t xml:space="preserve"> </w:t>
      </w:r>
      <w:hyperlink r:id="rId20" w:history="1">
        <w:r w:rsidRPr="005576B3">
          <w:rPr>
            <w:color w:val="340DAB"/>
            <w:sz w:val="28"/>
            <w:szCs w:val="28"/>
            <w:lang w:val="en-US" w:eastAsia="en-US" w:bidi="en-US"/>
          </w:rPr>
          <w:t>p/</w:t>
        </w:r>
        <w:proofErr w:type="spellStart"/>
        <w:r w:rsidRPr="005576B3">
          <w:rPr>
            <w:color w:val="340DAB"/>
            <w:sz w:val="28"/>
            <w:szCs w:val="28"/>
            <w:lang w:val="en-US" w:eastAsia="en-US" w:bidi="en-US"/>
          </w:rPr>
          <w:t>en</w:t>
        </w:r>
        <w:proofErr w:type="spellEnd"/>
        <w:r w:rsidRPr="005576B3">
          <w:rPr>
            <w:color w:val="340DAB"/>
            <w:sz w:val="28"/>
            <w:szCs w:val="28"/>
            <w:lang w:val="en-US" w:eastAsia="en-US" w:bidi="en-US"/>
          </w:rPr>
          <w:t>/news/2021/20210524/04.pdf</w:t>
        </w:r>
      </w:hyperlink>
    </w:p>
    <w:p w14:paraId="44ECBF43" w14:textId="77777777" w:rsidR="00A72B5C" w:rsidRPr="005576B3" w:rsidRDefault="00000000" w:rsidP="00C319DB">
      <w:pPr>
        <w:pStyle w:val="1"/>
        <w:numPr>
          <w:ilvl w:val="0"/>
          <w:numId w:val="3"/>
        </w:numPr>
        <w:tabs>
          <w:tab w:val="left" w:pos="638"/>
        </w:tabs>
        <w:ind w:left="360" w:hanging="360"/>
        <w:jc w:val="both"/>
        <w:rPr>
          <w:sz w:val="28"/>
          <w:szCs w:val="28"/>
        </w:rPr>
      </w:pPr>
      <w:r w:rsidRPr="005576B3">
        <w:rPr>
          <w:sz w:val="28"/>
          <w:szCs w:val="28"/>
        </w:rPr>
        <w:t xml:space="preserve">Правительство РФ. Постановление Правительства РФ от </w:t>
      </w:r>
      <w:r w:rsidRPr="005576B3">
        <w:rPr>
          <w:sz w:val="28"/>
          <w:szCs w:val="28"/>
          <w:lang w:eastAsia="en-US" w:bidi="en-US"/>
        </w:rPr>
        <w:t xml:space="preserve">21 </w:t>
      </w:r>
      <w:r w:rsidRPr="005576B3">
        <w:rPr>
          <w:sz w:val="28"/>
          <w:szCs w:val="28"/>
        </w:rPr>
        <w:t xml:space="preserve">сентября </w:t>
      </w:r>
      <w:r w:rsidRPr="005576B3">
        <w:rPr>
          <w:sz w:val="28"/>
          <w:szCs w:val="28"/>
          <w:lang w:eastAsia="en-US" w:bidi="en-US"/>
        </w:rPr>
        <w:t xml:space="preserve">2021 </w:t>
      </w:r>
      <w:r w:rsidRPr="005576B3">
        <w:rPr>
          <w:sz w:val="28"/>
          <w:szCs w:val="28"/>
        </w:rPr>
        <w:t xml:space="preserve">г. </w:t>
      </w:r>
      <w:r w:rsidRPr="005576B3">
        <w:rPr>
          <w:sz w:val="28"/>
          <w:szCs w:val="28"/>
          <w:lang w:eastAsia="en-US" w:bidi="en-US"/>
        </w:rPr>
        <w:t xml:space="preserve">№ 1587. 2021. </w:t>
      </w:r>
      <w:r w:rsidRPr="005576B3">
        <w:rPr>
          <w:sz w:val="28"/>
          <w:szCs w:val="28"/>
          <w:lang w:val="en-US" w:eastAsia="en-US" w:bidi="en-US"/>
        </w:rPr>
        <w:t>URL</w:t>
      </w:r>
      <w:r w:rsidRPr="005576B3">
        <w:rPr>
          <w:sz w:val="28"/>
          <w:szCs w:val="28"/>
          <w:lang w:eastAsia="en-US" w:bidi="en-US"/>
        </w:rPr>
        <w:t>:</w:t>
      </w:r>
      <w:hyperlink r:id="rId21" w:history="1">
        <w:r w:rsidRPr="005576B3">
          <w:rPr>
            <w:sz w:val="28"/>
            <w:szCs w:val="28"/>
            <w:lang w:eastAsia="en-US" w:bidi="en-US"/>
          </w:rPr>
          <w:t xml:space="preserve"> 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http</w:t>
        </w:r>
        <w:r w:rsidRPr="005576B3">
          <w:rPr>
            <w:color w:val="340DAB"/>
            <w:sz w:val="28"/>
            <w:szCs w:val="28"/>
            <w:lang w:eastAsia="en-US" w:bidi="en-US"/>
          </w:rPr>
          <w:t>://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static</w:t>
        </w:r>
        <w:r w:rsidRPr="005576B3">
          <w:rPr>
            <w:color w:val="340DAB"/>
            <w:sz w:val="28"/>
            <w:szCs w:val="28"/>
            <w:lang w:eastAsia="en-US" w:bidi="en-US"/>
          </w:rPr>
          <w:t>.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government</w:t>
        </w:r>
        <w:r w:rsidRPr="005576B3">
          <w:rPr>
            <w:color w:val="340DAB"/>
            <w:sz w:val="28"/>
            <w:szCs w:val="28"/>
            <w:lang w:eastAsia="en-US" w:bidi="en-US"/>
          </w:rPr>
          <w:t>.</w:t>
        </w:r>
        <w:proofErr w:type="spellStart"/>
        <w:r w:rsidRPr="005576B3">
          <w:rPr>
            <w:color w:val="340DAB"/>
            <w:sz w:val="28"/>
            <w:szCs w:val="28"/>
            <w:lang w:val="en-US" w:eastAsia="en-US" w:bidi="en-US"/>
          </w:rPr>
          <w:t>ru</w:t>
        </w:r>
        <w:proofErr w:type="spellEnd"/>
        <w:r w:rsidRPr="005576B3">
          <w:rPr>
            <w:color w:val="340DAB"/>
            <w:sz w:val="28"/>
            <w:szCs w:val="28"/>
            <w:lang w:eastAsia="en-US" w:bidi="en-US"/>
          </w:rPr>
          <w:t>/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media</w:t>
        </w:r>
        <w:r w:rsidRPr="005576B3">
          <w:rPr>
            <w:color w:val="340DAB"/>
            <w:sz w:val="28"/>
            <w:szCs w:val="28"/>
            <w:lang w:eastAsia="en-US" w:bidi="en-US"/>
          </w:rPr>
          <w:t>/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files</w:t>
        </w:r>
        <w:r w:rsidRPr="005576B3">
          <w:rPr>
            <w:color w:val="340DAB"/>
            <w:sz w:val="28"/>
            <w:szCs w:val="28"/>
            <w:lang w:eastAsia="en-US" w:bidi="en-US"/>
          </w:rPr>
          <w:t>/3</w:t>
        </w:r>
        <w:proofErr w:type="spellStart"/>
        <w:r w:rsidRPr="005576B3">
          <w:rPr>
            <w:color w:val="340DAB"/>
            <w:sz w:val="28"/>
            <w:szCs w:val="28"/>
            <w:lang w:val="en-US" w:eastAsia="en-US" w:bidi="en-US"/>
          </w:rPr>
          <w:t>hAvrl</w:t>
        </w:r>
        <w:proofErr w:type="spellEnd"/>
        <w:r w:rsidRPr="005576B3">
          <w:rPr>
            <w:color w:val="340DAB"/>
            <w:sz w:val="28"/>
            <w:szCs w:val="28"/>
            <w:lang w:eastAsia="en-US" w:bidi="en-US"/>
          </w:rPr>
          <w:t>8</w:t>
        </w:r>
        <w:proofErr w:type="spellStart"/>
        <w:r w:rsidRPr="005576B3">
          <w:rPr>
            <w:color w:val="340DAB"/>
            <w:sz w:val="28"/>
            <w:szCs w:val="28"/>
            <w:lang w:val="en-US" w:eastAsia="en-US" w:bidi="en-US"/>
          </w:rPr>
          <w:t>rMjp</w:t>
        </w:r>
        <w:proofErr w:type="spellEnd"/>
        <w:r w:rsidRPr="005576B3">
          <w:rPr>
            <w:color w:val="340DAB"/>
            <w:sz w:val="28"/>
            <w:szCs w:val="28"/>
            <w:lang w:eastAsia="en-US" w:bidi="en-US"/>
          </w:rPr>
          <w:t>19</w:t>
        </w:r>
        <w:proofErr w:type="spellStart"/>
        <w:r w:rsidRPr="005576B3">
          <w:rPr>
            <w:color w:val="340DAB"/>
            <w:sz w:val="28"/>
            <w:szCs w:val="28"/>
            <w:lang w:val="en-US" w:eastAsia="en-US" w:bidi="en-US"/>
          </w:rPr>
          <w:t>BApLG</w:t>
        </w:r>
        <w:proofErr w:type="spellEnd"/>
        <w:r w:rsidRPr="005576B3">
          <w:rPr>
            <w:color w:val="340DAB"/>
            <w:sz w:val="28"/>
            <w:szCs w:val="28"/>
            <w:lang w:eastAsia="en-US" w:bidi="en-US"/>
          </w:rPr>
          <w:t>2</w:t>
        </w:r>
        <w:proofErr w:type="spellStart"/>
        <w:r w:rsidRPr="005576B3">
          <w:rPr>
            <w:color w:val="340DAB"/>
            <w:sz w:val="28"/>
            <w:szCs w:val="28"/>
            <w:lang w:val="en-US" w:eastAsia="en-US" w:bidi="en-US"/>
          </w:rPr>
          <w:t>cchmt</w:t>
        </w:r>
        <w:proofErr w:type="spellEnd"/>
        <w:r w:rsidRPr="005576B3">
          <w:rPr>
            <w:color w:val="340DAB"/>
            <w:sz w:val="28"/>
            <w:szCs w:val="28"/>
            <w:lang w:eastAsia="en-US" w:bidi="en-US"/>
          </w:rPr>
          <w:t>35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YB</w:t>
        </w:r>
      </w:hyperlink>
      <w:r w:rsidRPr="005576B3">
        <w:rPr>
          <w:color w:val="340DAB"/>
          <w:sz w:val="28"/>
          <w:szCs w:val="28"/>
          <w:lang w:eastAsia="en-US" w:bidi="en-US"/>
        </w:rPr>
        <w:t xml:space="preserve"> </w:t>
      </w:r>
      <w:hyperlink r:id="rId22" w:history="1">
        <w:r w:rsidRPr="005576B3">
          <w:rPr>
            <w:color w:val="340DAB"/>
            <w:sz w:val="28"/>
            <w:szCs w:val="28"/>
            <w:lang w:val="en-US" w:eastAsia="en-US" w:bidi="en-US"/>
          </w:rPr>
          <w:t>PH</w:t>
        </w:r>
        <w:r w:rsidRPr="005576B3">
          <w:rPr>
            <w:color w:val="340DAB"/>
            <w:sz w:val="28"/>
            <w:szCs w:val="28"/>
            <w:lang w:eastAsia="en-US" w:bidi="en-US"/>
          </w:rPr>
          <w:t>8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z</w:t>
        </w:r>
        <w:r w:rsidRPr="005576B3">
          <w:rPr>
            <w:color w:val="340DAB"/>
            <w:sz w:val="28"/>
            <w:szCs w:val="28"/>
            <w:lang w:eastAsia="en-US" w:bidi="en-US"/>
          </w:rPr>
          <w:t>.</w:t>
        </w:r>
        <w:r w:rsidRPr="005576B3">
          <w:rPr>
            <w:color w:val="340DAB"/>
            <w:sz w:val="28"/>
            <w:szCs w:val="28"/>
            <w:lang w:val="en-US" w:eastAsia="en-US" w:bidi="en-US"/>
          </w:rPr>
          <w:t>pdf</w:t>
        </w:r>
        <w:r w:rsidRPr="005576B3">
          <w:rPr>
            <w:color w:val="340DAB"/>
            <w:sz w:val="28"/>
            <w:szCs w:val="28"/>
            <w:lang w:eastAsia="en-US" w:bidi="en-US"/>
          </w:rPr>
          <w:t xml:space="preserve"> </w:t>
        </w:r>
      </w:hyperlink>
      <w:r w:rsidRPr="005576B3">
        <w:rPr>
          <w:sz w:val="28"/>
          <w:szCs w:val="28"/>
        </w:rPr>
        <w:t>(дата обращения: 14.Март.2022).</w:t>
      </w:r>
    </w:p>
    <w:sectPr w:rsidR="00A72B5C" w:rsidRPr="005576B3">
      <w:pgSz w:w="11909" w:h="16840"/>
      <w:pgMar w:top="1148" w:right="540" w:bottom="1311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0EC" w14:textId="77777777" w:rsidR="004A2F05" w:rsidRDefault="004A2F05">
      <w:r>
        <w:separator/>
      </w:r>
    </w:p>
  </w:endnote>
  <w:endnote w:type="continuationSeparator" w:id="0">
    <w:p w14:paraId="4AC5EE0E" w14:textId="77777777" w:rsidR="004A2F05" w:rsidRDefault="004A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0C5D" w14:textId="77777777" w:rsidR="004A2F05" w:rsidRDefault="004A2F05"/>
  </w:footnote>
  <w:footnote w:type="continuationSeparator" w:id="0">
    <w:p w14:paraId="459E3097" w14:textId="77777777" w:rsidR="004A2F05" w:rsidRDefault="004A2F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473"/>
    <w:multiLevelType w:val="multilevel"/>
    <w:tmpl w:val="AA7C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0080F"/>
    <w:multiLevelType w:val="multilevel"/>
    <w:tmpl w:val="A8180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5B2645"/>
    <w:multiLevelType w:val="multilevel"/>
    <w:tmpl w:val="C1D6D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3858143">
    <w:abstractNumId w:val="1"/>
  </w:num>
  <w:num w:numId="2" w16cid:durableId="1965186829">
    <w:abstractNumId w:val="0"/>
  </w:num>
  <w:num w:numId="3" w16cid:durableId="156317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5C"/>
    <w:rsid w:val="004A2F05"/>
    <w:rsid w:val="005576B3"/>
    <w:rsid w:val="00A72B5C"/>
    <w:rsid w:val="00BD1D96"/>
    <w:rsid w:val="00C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7D58"/>
  <w15:docId w15:val="{74662975-C14C-4091-91B1-0D5B50E5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300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7/7c68a1ee-en." TargetMode="External"/><Relationship Id="rId13" Type="http://schemas.openxmlformats.org/officeDocument/2006/relationships/hyperlink" Target="https://www.icmagroup.org/assets/documents/Regulatory/Green-Bonds/Climate-Transition-Finance-Handbook-December-2020-091220.pdf" TargetMode="External"/><Relationship Id="rId18" Type="http://schemas.openxmlformats.org/officeDocument/2006/relationships/hyperlink" Target="https://transitiontaskforce.net/wp-content/uploads/2022/11/TPT-Summary-Recommendations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ic.government.ru/media/files/3hAvrl8rMjp19BApLG2cchmt35YBPH8z.pdf" TargetMode="External"/><Relationship Id="rId7" Type="http://schemas.openxmlformats.org/officeDocument/2006/relationships/hyperlink" Target="mailto:k.a.chernovol@gmail.com" TargetMode="External"/><Relationship Id="rId12" Type="http://schemas.openxmlformats.org/officeDocument/2006/relationships/hyperlink" Target="https://www.icmagroup.org/assets/documents/Regulatory/Green-Bonds/Climate-Transition-Finance-Handbook-December-2020-091220.pdf" TargetMode="External"/><Relationship Id="rId17" Type="http://schemas.openxmlformats.org/officeDocument/2006/relationships/hyperlink" Target="https://transitiontaskforce.net/wp-content/uploads/2022/11/TPT-Summary-Recommendations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c.gov/news/press-release/2022-46" TargetMode="External"/><Relationship Id="rId20" Type="http://schemas.openxmlformats.org/officeDocument/2006/relationships/hyperlink" Target="https://www.fsa.go.jp/en/news/2021/20210524/0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HTML/?uri=CELE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limatebonds.net/files/reports/cbi_fincredtransitions_fina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N/TXT/HTML/?uri=CELEX" TargetMode="External"/><Relationship Id="rId19" Type="http://schemas.openxmlformats.org/officeDocument/2006/relationships/hyperlink" Target="https://www.fsa.go.jp/en/news/2021/20210524/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87/7c68a1ee-en." TargetMode="External"/><Relationship Id="rId14" Type="http://schemas.openxmlformats.org/officeDocument/2006/relationships/hyperlink" Target="https://www.icmagroup.org/assets/documents/Regulatory/Green-Bonds/Climate-Transition-Finance-Handbook-December-2020-091220.pdf" TargetMode="External"/><Relationship Id="rId22" Type="http://schemas.openxmlformats.org/officeDocument/2006/relationships/hyperlink" Target="http://static.government.ru/media/files/3hAvrl8rMjp19BApLG2cchmt35YBPH8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Черновол</dc:creator>
  <cp:lastModifiedBy>Кирилл Черновол</cp:lastModifiedBy>
  <cp:revision>3</cp:revision>
  <dcterms:created xsi:type="dcterms:W3CDTF">2023-03-10T13:43:00Z</dcterms:created>
  <dcterms:modified xsi:type="dcterms:W3CDTF">2023-03-10T13:48:00Z</dcterms:modified>
</cp:coreProperties>
</file>