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0ED" w:rsidRPr="00F77BE3" w:rsidRDefault="00F77BE3" w:rsidP="00D104F6">
      <w:pPr>
        <w:spacing w:after="0" w:line="288" w:lineRule="auto"/>
        <w:ind w:left="-567" w:firstLine="567"/>
        <w:jc w:val="both"/>
        <w:rPr>
          <w:rFonts w:ascii="Times New Roman" w:hAnsi="Times New Roman" w:cs="Times New Roman"/>
          <w:sz w:val="28"/>
          <w:szCs w:val="28"/>
        </w:rPr>
      </w:pPr>
      <w:r w:rsidRPr="00F77BE3">
        <w:rPr>
          <w:rFonts w:ascii="Times New Roman" w:hAnsi="Times New Roman" w:cs="Times New Roman"/>
          <w:sz w:val="28"/>
          <w:szCs w:val="28"/>
        </w:rPr>
        <w:t>УДК: 11.11.1</w:t>
      </w:r>
    </w:p>
    <w:p w:rsidR="00F77BE3" w:rsidRPr="007303C1" w:rsidRDefault="00F77BE3" w:rsidP="00D104F6">
      <w:pPr>
        <w:spacing w:after="0" w:line="288" w:lineRule="auto"/>
        <w:ind w:left="-567" w:firstLine="567"/>
        <w:jc w:val="both"/>
        <w:rPr>
          <w:rFonts w:ascii="Times New Roman" w:hAnsi="Times New Roman" w:cs="Times New Roman"/>
          <w:b/>
          <w:sz w:val="28"/>
          <w:szCs w:val="28"/>
        </w:rPr>
      </w:pPr>
      <w:r w:rsidRPr="007303C1">
        <w:rPr>
          <w:rFonts w:ascii="Times New Roman" w:hAnsi="Times New Roman" w:cs="Times New Roman"/>
          <w:b/>
          <w:sz w:val="28"/>
          <w:szCs w:val="28"/>
        </w:rPr>
        <w:t>Дыльнова В.В.</w:t>
      </w:r>
    </w:p>
    <w:p w:rsidR="00F77BE3" w:rsidRPr="00F77BE3" w:rsidRDefault="00D104F6" w:rsidP="00D104F6">
      <w:pPr>
        <w:spacing w:after="0" w:line="288" w:lineRule="auto"/>
        <w:ind w:left="-567"/>
        <w:jc w:val="both"/>
        <w:rPr>
          <w:rFonts w:ascii="Times New Roman" w:hAnsi="Times New Roman" w:cs="Times New Roman"/>
          <w:sz w:val="28"/>
          <w:szCs w:val="28"/>
        </w:rPr>
      </w:pPr>
      <w:r>
        <w:rPr>
          <w:rFonts w:ascii="Times New Roman" w:hAnsi="Times New Roman" w:cs="Times New Roman"/>
          <w:sz w:val="28"/>
          <w:szCs w:val="28"/>
        </w:rPr>
        <w:tab/>
      </w:r>
      <w:hyperlink r:id="rId8" w:history="1">
        <w:r w:rsidR="00F77BE3" w:rsidRPr="00F77BE3">
          <w:rPr>
            <w:rStyle w:val="a3"/>
            <w:rFonts w:ascii="Times New Roman" w:hAnsi="Times New Roman" w:cs="Times New Roman"/>
            <w:sz w:val="28"/>
            <w:szCs w:val="28"/>
            <w:lang w:val="en-US"/>
          </w:rPr>
          <w:t>svetlanadyl</w:t>
        </w:r>
        <w:r w:rsidR="00F77BE3" w:rsidRPr="00F77BE3">
          <w:rPr>
            <w:rStyle w:val="a3"/>
            <w:rFonts w:ascii="Times New Roman" w:hAnsi="Times New Roman" w:cs="Times New Roman"/>
            <w:sz w:val="28"/>
            <w:szCs w:val="28"/>
          </w:rPr>
          <w:t>@</w:t>
        </w:r>
        <w:r w:rsidR="00F77BE3" w:rsidRPr="00F77BE3">
          <w:rPr>
            <w:rStyle w:val="a3"/>
            <w:rFonts w:ascii="Times New Roman" w:hAnsi="Times New Roman" w:cs="Times New Roman"/>
            <w:sz w:val="28"/>
            <w:szCs w:val="28"/>
            <w:lang w:val="en-US"/>
          </w:rPr>
          <w:t>yandex</w:t>
        </w:r>
        <w:r w:rsidR="00F77BE3" w:rsidRPr="00F77BE3">
          <w:rPr>
            <w:rStyle w:val="a3"/>
            <w:rFonts w:ascii="Times New Roman" w:hAnsi="Times New Roman" w:cs="Times New Roman"/>
            <w:sz w:val="28"/>
            <w:szCs w:val="28"/>
          </w:rPr>
          <w:t>.</w:t>
        </w:r>
        <w:r w:rsidR="00F77BE3" w:rsidRPr="00F77BE3">
          <w:rPr>
            <w:rStyle w:val="a3"/>
            <w:rFonts w:ascii="Times New Roman" w:hAnsi="Times New Roman" w:cs="Times New Roman"/>
            <w:sz w:val="28"/>
            <w:szCs w:val="28"/>
            <w:lang w:val="en-US"/>
          </w:rPr>
          <w:t>ru</w:t>
        </w:r>
      </w:hyperlink>
    </w:p>
    <w:p w:rsidR="00F77BE3" w:rsidRPr="00F77BE3" w:rsidRDefault="00D104F6" w:rsidP="00D104F6">
      <w:pPr>
        <w:spacing w:after="0" w:line="288" w:lineRule="auto"/>
        <w:ind w:left="-567"/>
        <w:jc w:val="both"/>
        <w:rPr>
          <w:rFonts w:ascii="Times New Roman" w:hAnsi="Times New Roman" w:cs="Times New Roman"/>
          <w:sz w:val="28"/>
          <w:szCs w:val="28"/>
        </w:rPr>
      </w:pPr>
      <w:r>
        <w:rPr>
          <w:rFonts w:ascii="Times New Roman" w:hAnsi="Times New Roman" w:cs="Times New Roman"/>
          <w:sz w:val="28"/>
          <w:szCs w:val="28"/>
        </w:rPr>
        <w:tab/>
      </w:r>
      <w:r w:rsidR="007303C1">
        <w:rPr>
          <w:rFonts w:ascii="Times New Roman" w:hAnsi="Times New Roman" w:cs="Times New Roman"/>
          <w:sz w:val="28"/>
          <w:szCs w:val="28"/>
        </w:rPr>
        <w:t>Российская Федерация</w:t>
      </w:r>
      <w:r w:rsidR="00F77BE3" w:rsidRPr="00F77BE3">
        <w:rPr>
          <w:rFonts w:ascii="Times New Roman" w:hAnsi="Times New Roman" w:cs="Times New Roman"/>
          <w:sz w:val="28"/>
          <w:szCs w:val="28"/>
        </w:rPr>
        <w:t>, Санкт-Петербург</w:t>
      </w:r>
    </w:p>
    <w:p w:rsidR="000960E6" w:rsidRPr="000960E6" w:rsidRDefault="00D104F6" w:rsidP="00D104F6">
      <w:pPr>
        <w:spacing w:after="0" w:line="288" w:lineRule="auto"/>
        <w:ind w:left="-567"/>
        <w:jc w:val="both"/>
        <w:rPr>
          <w:rFonts w:ascii="Times New Roman" w:hAnsi="Times New Roman" w:cs="Times New Roman"/>
          <w:sz w:val="28"/>
          <w:szCs w:val="28"/>
        </w:rPr>
      </w:pPr>
      <w:r>
        <w:rPr>
          <w:rFonts w:ascii="Times New Roman" w:hAnsi="Times New Roman" w:cs="Times New Roman"/>
          <w:sz w:val="28"/>
          <w:szCs w:val="28"/>
        </w:rPr>
        <w:tab/>
      </w:r>
      <w:r w:rsidR="00F77BE3" w:rsidRPr="00F77BE3">
        <w:rPr>
          <w:rFonts w:ascii="Times New Roman" w:hAnsi="Times New Roman" w:cs="Times New Roman"/>
          <w:sz w:val="28"/>
          <w:szCs w:val="28"/>
        </w:rPr>
        <w:t>Международный банковский институт имени Анатолия Собчака</w:t>
      </w:r>
    </w:p>
    <w:p w:rsidR="00F77BE3" w:rsidRDefault="000960E6" w:rsidP="00D104F6">
      <w:pPr>
        <w:spacing w:after="0" w:line="288" w:lineRule="auto"/>
        <w:ind w:left="-567"/>
        <w:jc w:val="both"/>
        <w:rPr>
          <w:rFonts w:ascii="Times New Roman" w:hAnsi="Times New Roman" w:cs="Times New Roman"/>
          <w:sz w:val="28"/>
          <w:szCs w:val="28"/>
        </w:rPr>
      </w:pPr>
      <w:r w:rsidRPr="00283C08">
        <w:rPr>
          <w:rFonts w:ascii="Times New Roman" w:hAnsi="Times New Roman" w:cs="Times New Roman"/>
          <w:sz w:val="28"/>
          <w:szCs w:val="28"/>
        </w:rPr>
        <w:tab/>
      </w:r>
      <w:r w:rsidR="00F77BE3">
        <w:rPr>
          <w:rFonts w:ascii="Times New Roman" w:hAnsi="Times New Roman" w:cs="Times New Roman"/>
          <w:sz w:val="28"/>
          <w:szCs w:val="28"/>
        </w:rPr>
        <w:t>Мидлер Е.А., д.э.н., профессор – научный руководитель</w:t>
      </w:r>
    </w:p>
    <w:p w:rsidR="007303C1" w:rsidRDefault="000960E6" w:rsidP="00D104F6">
      <w:pPr>
        <w:spacing w:after="0" w:line="288" w:lineRule="auto"/>
        <w:ind w:left="-567"/>
        <w:jc w:val="both"/>
        <w:rPr>
          <w:rFonts w:ascii="Times New Roman" w:hAnsi="Times New Roman" w:cs="Times New Roman"/>
          <w:sz w:val="28"/>
          <w:szCs w:val="28"/>
        </w:rPr>
      </w:pPr>
      <w:r w:rsidRPr="00283C08">
        <w:rPr>
          <w:rFonts w:ascii="Times New Roman" w:hAnsi="Times New Roman" w:cs="Times New Roman"/>
          <w:sz w:val="28"/>
          <w:szCs w:val="28"/>
        </w:rPr>
        <w:tab/>
      </w:r>
      <w:r w:rsidR="00F77BE3" w:rsidRPr="007303C1">
        <w:rPr>
          <w:rFonts w:ascii="Times New Roman" w:hAnsi="Times New Roman" w:cs="Times New Roman"/>
          <w:b/>
          <w:sz w:val="28"/>
          <w:szCs w:val="28"/>
        </w:rPr>
        <w:t>Аннотация.</w:t>
      </w:r>
      <w:r w:rsidR="00F77BE3">
        <w:rPr>
          <w:rFonts w:ascii="Times New Roman" w:hAnsi="Times New Roman" w:cs="Times New Roman"/>
          <w:sz w:val="28"/>
          <w:szCs w:val="28"/>
        </w:rPr>
        <w:t xml:space="preserve"> </w:t>
      </w:r>
      <w:r w:rsidR="00D104F6">
        <w:rPr>
          <w:rFonts w:ascii="Times New Roman" w:hAnsi="Times New Roman" w:cs="Times New Roman"/>
          <w:sz w:val="28"/>
          <w:szCs w:val="28"/>
        </w:rPr>
        <w:t xml:space="preserve">Цель работы состоит в том, чтобы показать актуальность факторинга, его роль в экономике, также разобрать виды факторинга, его схему работы и проанализировать Российский рынок в данном аспекте. </w:t>
      </w:r>
      <w:r w:rsidR="003B375F">
        <w:rPr>
          <w:rFonts w:ascii="Times New Roman" w:hAnsi="Times New Roman" w:cs="Times New Roman"/>
          <w:sz w:val="28"/>
          <w:szCs w:val="28"/>
        </w:rPr>
        <w:t>Исследование проводилось по таким показателям, как сущность, разновидности, финансовая доступность, уровень сложности в использовании. На основании</w:t>
      </w:r>
      <w:r w:rsidR="007303C1">
        <w:rPr>
          <w:rFonts w:ascii="Times New Roman" w:hAnsi="Times New Roman" w:cs="Times New Roman"/>
          <w:sz w:val="28"/>
          <w:szCs w:val="28"/>
        </w:rPr>
        <w:t xml:space="preserve"> перечисленных пунктов был сделан вывод о необходимости использования данного финансового инструмента.</w:t>
      </w:r>
    </w:p>
    <w:p w:rsidR="00F77BE3" w:rsidRDefault="007303C1" w:rsidP="00D104F6">
      <w:pPr>
        <w:spacing w:after="0" w:line="288" w:lineRule="auto"/>
        <w:ind w:left="-567"/>
        <w:jc w:val="both"/>
        <w:rPr>
          <w:rFonts w:ascii="Times New Roman" w:hAnsi="Times New Roman" w:cs="Times New Roman"/>
          <w:sz w:val="28"/>
          <w:szCs w:val="28"/>
        </w:rPr>
      </w:pPr>
      <w:r>
        <w:rPr>
          <w:rFonts w:ascii="Times New Roman" w:hAnsi="Times New Roman" w:cs="Times New Roman"/>
          <w:sz w:val="28"/>
          <w:szCs w:val="28"/>
        </w:rPr>
        <w:tab/>
      </w:r>
      <w:r w:rsidR="000960E6" w:rsidRPr="000960E6">
        <w:rPr>
          <w:rFonts w:ascii="Times New Roman" w:hAnsi="Times New Roman" w:cs="Times New Roman"/>
          <w:sz w:val="28"/>
          <w:szCs w:val="28"/>
        </w:rPr>
        <w:t xml:space="preserve"> </w:t>
      </w:r>
      <w:r w:rsidRPr="007303C1">
        <w:rPr>
          <w:rFonts w:ascii="Times New Roman" w:hAnsi="Times New Roman" w:cs="Times New Roman"/>
          <w:b/>
          <w:sz w:val="28"/>
          <w:szCs w:val="28"/>
        </w:rPr>
        <w:t>Ключевые слова:</w:t>
      </w:r>
      <w:r>
        <w:rPr>
          <w:rFonts w:ascii="Times New Roman" w:hAnsi="Times New Roman" w:cs="Times New Roman"/>
          <w:sz w:val="28"/>
          <w:szCs w:val="28"/>
        </w:rPr>
        <w:t xml:space="preserve"> факторинг, особый вид кредитной продукции, факторинг с регрессом, факторинг без регресса, фактор.</w:t>
      </w:r>
    </w:p>
    <w:p w:rsidR="007303C1" w:rsidRDefault="007303C1" w:rsidP="007303C1">
      <w:pPr>
        <w:spacing w:after="0" w:line="288" w:lineRule="auto"/>
        <w:ind w:left="-567"/>
        <w:jc w:val="center"/>
        <w:rPr>
          <w:rFonts w:ascii="Times New Roman" w:hAnsi="Times New Roman" w:cs="Times New Roman"/>
          <w:b/>
          <w:sz w:val="28"/>
          <w:szCs w:val="28"/>
        </w:rPr>
      </w:pPr>
      <w:r w:rsidRPr="007303C1">
        <w:rPr>
          <w:rFonts w:ascii="Times New Roman" w:hAnsi="Times New Roman" w:cs="Times New Roman"/>
          <w:b/>
          <w:sz w:val="28"/>
          <w:szCs w:val="28"/>
        </w:rPr>
        <w:t>ФАКТОРИНГ И ЕГО РОЛЬ В ЭКОНОМИКЕ</w:t>
      </w:r>
    </w:p>
    <w:p w:rsidR="007303C1" w:rsidRDefault="000960E6" w:rsidP="007303C1">
      <w:pPr>
        <w:spacing w:after="0" w:line="288" w:lineRule="auto"/>
        <w:ind w:left="-567"/>
        <w:jc w:val="both"/>
        <w:rPr>
          <w:rFonts w:ascii="Times New Roman" w:hAnsi="Times New Roman" w:cs="Times New Roman"/>
          <w:b/>
          <w:sz w:val="28"/>
          <w:szCs w:val="28"/>
          <w:lang w:val="en-US"/>
        </w:rPr>
      </w:pPr>
      <w:r w:rsidRPr="00283C08">
        <w:rPr>
          <w:rFonts w:ascii="Times New Roman" w:hAnsi="Times New Roman" w:cs="Times New Roman"/>
          <w:sz w:val="28"/>
          <w:szCs w:val="28"/>
        </w:rPr>
        <w:tab/>
        <w:t xml:space="preserve"> </w:t>
      </w:r>
      <w:r w:rsidR="007303C1" w:rsidRPr="000960E6">
        <w:rPr>
          <w:rFonts w:ascii="Times New Roman" w:hAnsi="Times New Roman" w:cs="Times New Roman"/>
          <w:b/>
          <w:sz w:val="28"/>
          <w:szCs w:val="28"/>
          <w:lang w:val="en-US"/>
        </w:rPr>
        <w:t>Dylnova V.V.</w:t>
      </w:r>
    </w:p>
    <w:p w:rsidR="000960E6" w:rsidRDefault="000960E6" w:rsidP="000960E6">
      <w:pPr>
        <w:spacing w:after="0" w:line="288" w:lineRule="auto"/>
        <w:ind w:left="-567"/>
        <w:jc w:val="both"/>
        <w:rPr>
          <w:rFonts w:ascii="Times New Roman" w:hAnsi="Times New Roman" w:cs="Times New Roman"/>
          <w:sz w:val="28"/>
          <w:szCs w:val="28"/>
          <w:lang w:val="en-US"/>
        </w:rPr>
      </w:pPr>
      <w:r>
        <w:rPr>
          <w:rFonts w:ascii="Times New Roman" w:hAnsi="Times New Roman" w:cs="Times New Roman"/>
          <w:b/>
          <w:sz w:val="28"/>
          <w:szCs w:val="28"/>
          <w:lang w:val="en-US"/>
        </w:rPr>
        <w:tab/>
        <w:t xml:space="preserve"> </w:t>
      </w:r>
      <w:hyperlink r:id="rId9" w:history="1">
        <w:r w:rsidRPr="00F77BE3">
          <w:rPr>
            <w:rStyle w:val="a3"/>
            <w:rFonts w:ascii="Times New Roman" w:hAnsi="Times New Roman" w:cs="Times New Roman"/>
            <w:sz w:val="28"/>
            <w:szCs w:val="28"/>
            <w:lang w:val="en-US"/>
          </w:rPr>
          <w:t>svetlanadyl</w:t>
        </w:r>
        <w:r w:rsidRPr="000960E6">
          <w:rPr>
            <w:rStyle w:val="a3"/>
            <w:rFonts w:ascii="Times New Roman" w:hAnsi="Times New Roman" w:cs="Times New Roman"/>
            <w:sz w:val="28"/>
            <w:szCs w:val="28"/>
            <w:lang w:val="en-US"/>
          </w:rPr>
          <w:t>@</w:t>
        </w:r>
        <w:r w:rsidRPr="00F77BE3">
          <w:rPr>
            <w:rStyle w:val="a3"/>
            <w:rFonts w:ascii="Times New Roman" w:hAnsi="Times New Roman" w:cs="Times New Roman"/>
            <w:sz w:val="28"/>
            <w:szCs w:val="28"/>
            <w:lang w:val="en-US"/>
          </w:rPr>
          <w:t>yandex</w:t>
        </w:r>
        <w:r w:rsidRPr="000960E6">
          <w:rPr>
            <w:rStyle w:val="a3"/>
            <w:rFonts w:ascii="Times New Roman" w:hAnsi="Times New Roman" w:cs="Times New Roman"/>
            <w:sz w:val="28"/>
            <w:szCs w:val="28"/>
            <w:lang w:val="en-US"/>
          </w:rPr>
          <w:t>.</w:t>
        </w:r>
        <w:r w:rsidRPr="00F77BE3">
          <w:rPr>
            <w:rStyle w:val="a3"/>
            <w:rFonts w:ascii="Times New Roman" w:hAnsi="Times New Roman" w:cs="Times New Roman"/>
            <w:sz w:val="28"/>
            <w:szCs w:val="28"/>
            <w:lang w:val="en-US"/>
          </w:rPr>
          <w:t>ru</w:t>
        </w:r>
      </w:hyperlink>
    </w:p>
    <w:p w:rsidR="000960E6" w:rsidRPr="000960E6" w:rsidRDefault="000960E6" w:rsidP="000960E6">
      <w:pPr>
        <w:spacing w:after="0" w:line="288" w:lineRule="auto"/>
        <w:ind w:left="-567"/>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 </w:t>
      </w:r>
      <w:r w:rsidRPr="000960E6">
        <w:rPr>
          <w:rFonts w:ascii="Times New Roman" w:hAnsi="Times New Roman" w:cs="Times New Roman"/>
          <w:sz w:val="28"/>
          <w:szCs w:val="28"/>
          <w:lang w:val="en-US"/>
        </w:rPr>
        <w:t>Russian Federation, St. Petersburg</w:t>
      </w:r>
    </w:p>
    <w:p w:rsidR="000960E6" w:rsidRPr="000960E6" w:rsidRDefault="000960E6" w:rsidP="000960E6">
      <w:pPr>
        <w:spacing w:after="0" w:line="288" w:lineRule="auto"/>
        <w:ind w:left="-567"/>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 </w:t>
      </w:r>
      <w:r w:rsidRPr="000960E6">
        <w:rPr>
          <w:rFonts w:ascii="Times New Roman" w:hAnsi="Times New Roman" w:cs="Times New Roman"/>
          <w:sz w:val="28"/>
          <w:szCs w:val="28"/>
          <w:lang w:val="en-US"/>
        </w:rPr>
        <w:t>International Banking Institute named after Anatoly Sobchak</w:t>
      </w:r>
    </w:p>
    <w:p w:rsidR="000960E6" w:rsidRPr="000960E6" w:rsidRDefault="000960E6" w:rsidP="000960E6">
      <w:pPr>
        <w:spacing w:after="0" w:line="288" w:lineRule="auto"/>
        <w:ind w:left="-567"/>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 </w:t>
      </w:r>
      <w:r w:rsidRPr="000960E6">
        <w:rPr>
          <w:rFonts w:ascii="Times New Roman" w:hAnsi="Times New Roman" w:cs="Times New Roman"/>
          <w:sz w:val="28"/>
          <w:szCs w:val="28"/>
          <w:lang w:val="en-US"/>
        </w:rPr>
        <w:t>Midler E.A., Doctor of Economics, Professor - Supervisor</w:t>
      </w:r>
    </w:p>
    <w:p w:rsidR="000960E6" w:rsidRPr="000960E6" w:rsidRDefault="000960E6" w:rsidP="000960E6">
      <w:pPr>
        <w:spacing w:after="0" w:line="288" w:lineRule="auto"/>
        <w:ind w:left="-567"/>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 </w:t>
      </w:r>
      <w:r w:rsidRPr="000960E6">
        <w:rPr>
          <w:rFonts w:ascii="Times New Roman" w:hAnsi="Times New Roman" w:cs="Times New Roman"/>
          <w:b/>
          <w:sz w:val="28"/>
          <w:szCs w:val="28"/>
          <w:lang w:val="en-US"/>
        </w:rPr>
        <w:t>Abstract.</w:t>
      </w:r>
      <w:r w:rsidRPr="000960E6">
        <w:rPr>
          <w:rFonts w:ascii="Times New Roman" w:hAnsi="Times New Roman" w:cs="Times New Roman"/>
          <w:sz w:val="28"/>
          <w:szCs w:val="28"/>
          <w:lang w:val="en-US"/>
        </w:rPr>
        <w:t xml:space="preserve"> The purpose of the work is to show the relevance of factoring, its role in the economy, also analyze the types of factoring, its scheme of work and analyze the Russian market in this aspect. The study was conducted on such indicators as the essence, varieties, financial availability, the level of complexity in use. Based on the above points, it was concluded that it is necessary to use this financial instrument.</w:t>
      </w:r>
    </w:p>
    <w:p w:rsidR="000960E6" w:rsidRPr="000960E6" w:rsidRDefault="000960E6" w:rsidP="000960E6">
      <w:pPr>
        <w:spacing w:after="0" w:line="288" w:lineRule="auto"/>
        <w:ind w:left="-567"/>
        <w:jc w:val="both"/>
        <w:rPr>
          <w:rFonts w:ascii="Times New Roman" w:hAnsi="Times New Roman" w:cs="Times New Roman"/>
          <w:sz w:val="28"/>
          <w:szCs w:val="28"/>
          <w:lang w:val="en-US"/>
        </w:rPr>
      </w:pPr>
      <w:r>
        <w:rPr>
          <w:rFonts w:ascii="Times New Roman" w:hAnsi="Times New Roman" w:cs="Times New Roman"/>
          <w:b/>
          <w:sz w:val="28"/>
          <w:szCs w:val="28"/>
          <w:lang w:val="en-US"/>
        </w:rPr>
        <w:tab/>
        <w:t xml:space="preserve"> Key</w:t>
      </w:r>
      <w:r w:rsidRPr="000960E6">
        <w:rPr>
          <w:rFonts w:ascii="Times New Roman" w:hAnsi="Times New Roman" w:cs="Times New Roman"/>
          <w:b/>
          <w:sz w:val="28"/>
          <w:szCs w:val="28"/>
          <w:lang w:val="en-US"/>
        </w:rPr>
        <w:t xml:space="preserve">words: </w:t>
      </w:r>
      <w:r w:rsidRPr="000960E6">
        <w:rPr>
          <w:rFonts w:ascii="Times New Roman" w:hAnsi="Times New Roman" w:cs="Times New Roman"/>
          <w:sz w:val="28"/>
          <w:szCs w:val="28"/>
          <w:lang w:val="en-US"/>
        </w:rPr>
        <w:t>factoring, a special type of credit products, factoring with recourse, factoring without recourse, factor.</w:t>
      </w:r>
    </w:p>
    <w:p w:rsidR="000960E6" w:rsidRDefault="000960E6" w:rsidP="000960E6">
      <w:pPr>
        <w:spacing w:after="0" w:line="288" w:lineRule="auto"/>
        <w:ind w:left="-567"/>
        <w:jc w:val="center"/>
        <w:rPr>
          <w:rFonts w:ascii="Times New Roman" w:hAnsi="Times New Roman" w:cs="Times New Roman"/>
          <w:b/>
          <w:sz w:val="28"/>
          <w:szCs w:val="28"/>
          <w:lang w:val="en-US"/>
        </w:rPr>
      </w:pPr>
      <w:r w:rsidRPr="000960E6">
        <w:rPr>
          <w:rFonts w:ascii="Times New Roman" w:hAnsi="Times New Roman" w:cs="Times New Roman"/>
          <w:b/>
          <w:sz w:val="28"/>
          <w:szCs w:val="28"/>
          <w:lang w:val="en-US"/>
        </w:rPr>
        <w:t>FACTORING AND ITS ROLE IN THE ECONOMY</w:t>
      </w:r>
    </w:p>
    <w:p w:rsidR="000960E6" w:rsidRDefault="000960E6" w:rsidP="000960E6">
      <w:pPr>
        <w:spacing w:after="0" w:line="288" w:lineRule="auto"/>
        <w:ind w:left="-567"/>
        <w:jc w:val="center"/>
        <w:rPr>
          <w:rFonts w:ascii="Times New Roman" w:hAnsi="Times New Roman" w:cs="Times New Roman"/>
          <w:b/>
          <w:sz w:val="28"/>
          <w:szCs w:val="28"/>
          <w:lang w:val="en-US"/>
        </w:rPr>
      </w:pPr>
    </w:p>
    <w:p w:rsidR="000960E6" w:rsidRDefault="000960E6" w:rsidP="000960E6">
      <w:pPr>
        <w:spacing w:after="0" w:line="288" w:lineRule="auto"/>
        <w:ind w:left="-567"/>
        <w:jc w:val="center"/>
        <w:rPr>
          <w:rFonts w:ascii="Times New Roman" w:hAnsi="Times New Roman" w:cs="Times New Roman"/>
          <w:b/>
          <w:sz w:val="28"/>
          <w:szCs w:val="28"/>
          <w:lang w:val="en-US"/>
        </w:rPr>
      </w:pPr>
    </w:p>
    <w:p w:rsidR="000960E6" w:rsidRDefault="000960E6" w:rsidP="000960E6">
      <w:pPr>
        <w:spacing w:after="0" w:line="288" w:lineRule="auto"/>
        <w:ind w:left="-567"/>
        <w:jc w:val="center"/>
        <w:rPr>
          <w:rFonts w:ascii="Times New Roman" w:hAnsi="Times New Roman" w:cs="Times New Roman"/>
          <w:b/>
          <w:sz w:val="28"/>
          <w:szCs w:val="28"/>
          <w:lang w:val="en-US"/>
        </w:rPr>
      </w:pPr>
    </w:p>
    <w:p w:rsidR="000960E6" w:rsidRDefault="000960E6" w:rsidP="000960E6">
      <w:pPr>
        <w:spacing w:after="0" w:line="288" w:lineRule="auto"/>
        <w:ind w:left="-567"/>
        <w:jc w:val="center"/>
        <w:rPr>
          <w:rFonts w:ascii="Times New Roman" w:hAnsi="Times New Roman" w:cs="Times New Roman"/>
          <w:b/>
          <w:sz w:val="28"/>
          <w:szCs w:val="28"/>
          <w:lang w:val="en-US"/>
        </w:rPr>
      </w:pPr>
    </w:p>
    <w:p w:rsidR="000960E6" w:rsidRDefault="000960E6" w:rsidP="000960E6">
      <w:pPr>
        <w:spacing w:after="0" w:line="288" w:lineRule="auto"/>
        <w:ind w:left="-567"/>
        <w:jc w:val="center"/>
        <w:rPr>
          <w:rFonts w:ascii="Times New Roman" w:hAnsi="Times New Roman" w:cs="Times New Roman"/>
          <w:b/>
          <w:sz w:val="28"/>
          <w:szCs w:val="28"/>
          <w:lang w:val="en-US"/>
        </w:rPr>
      </w:pPr>
    </w:p>
    <w:p w:rsidR="000960E6" w:rsidRDefault="000960E6" w:rsidP="000960E6">
      <w:pPr>
        <w:spacing w:after="0" w:line="288" w:lineRule="auto"/>
        <w:ind w:left="-567"/>
        <w:jc w:val="center"/>
        <w:rPr>
          <w:rFonts w:ascii="Times New Roman" w:hAnsi="Times New Roman" w:cs="Times New Roman"/>
          <w:b/>
          <w:sz w:val="28"/>
          <w:szCs w:val="28"/>
          <w:lang w:val="en-US"/>
        </w:rPr>
      </w:pPr>
    </w:p>
    <w:p w:rsidR="000960E6" w:rsidRDefault="000960E6" w:rsidP="000960E6">
      <w:pPr>
        <w:spacing w:after="0" w:line="288" w:lineRule="auto"/>
        <w:ind w:left="-567"/>
        <w:jc w:val="center"/>
        <w:rPr>
          <w:rFonts w:ascii="Times New Roman" w:hAnsi="Times New Roman" w:cs="Times New Roman"/>
          <w:b/>
          <w:sz w:val="28"/>
          <w:szCs w:val="28"/>
          <w:lang w:val="en-US"/>
        </w:rPr>
      </w:pPr>
    </w:p>
    <w:p w:rsidR="000960E6" w:rsidRDefault="000960E6" w:rsidP="000960E6">
      <w:pPr>
        <w:spacing w:after="0" w:line="288" w:lineRule="auto"/>
        <w:ind w:left="-567"/>
        <w:jc w:val="center"/>
        <w:rPr>
          <w:rFonts w:ascii="Times New Roman" w:hAnsi="Times New Roman" w:cs="Times New Roman"/>
          <w:b/>
          <w:sz w:val="28"/>
          <w:szCs w:val="28"/>
          <w:lang w:val="en-US"/>
        </w:rPr>
      </w:pPr>
    </w:p>
    <w:p w:rsidR="000960E6" w:rsidRPr="00EC7215" w:rsidRDefault="000960E6" w:rsidP="000960E6">
      <w:pPr>
        <w:spacing w:after="0" w:line="288" w:lineRule="auto"/>
        <w:ind w:left="-567"/>
        <w:jc w:val="both"/>
        <w:rPr>
          <w:rFonts w:ascii="Times New Roman" w:hAnsi="Times New Roman" w:cs="Times New Roman"/>
          <w:sz w:val="28"/>
          <w:szCs w:val="28"/>
        </w:rPr>
      </w:pPr>
      <w:r>
        <w:rPr>
          <w:rFonts w:ascii="Times New Roman" w:hAnsi="Times New Roman" w:cs="Times New Roman"/>
          <w:sz w:val="28"/>
          <w:szCs w:val="28"/>
          <w:lang w:val="en-US"/>
        </w:rPr>
        <w:lastRenderedPageBreak/>
        <w:tab/>
      </w:r>
      <w:r w:rsidR="00080E87">
        <w:rPr>
          <w:rFonts w:ascii="Times New Roman" w:hAnsi="Times New Roman" w:cs="Times New Roman"/>
          <w:sz w:val="28"/>
          <w:szCs w:val="28"/>
        </w:rPr>
        <w:t>Э</w:t>
      </w:r>
      <w:r w:rsidRPr="000960E6">
        <w:rPr>
          <w:rFonts w:ascii="Times New Roman" w:hAnsi="Times New Roman" w:cs="Times New Roman"/>
          <w:sz w:val="28"/>
          <w:szCs w:val="28"/>
        </w:rPr>
        <w:t>кономическая сфера жизни крайне важна для человечества, ибо она присутствует повсюду. Кредитная система – это комплекс кредитных предприятий и финансовых институтов, которые совершают отдельные кредитные операции, правовых форм, выполняющих функцию регулирования их деятельности, также устанавливают порядок взаимосвязи с иными хозяйствующими субъектами</w:t>
      </w:r>
      <w:r w:rsidR="000431C9" w:rsidRPr="000431C9">
        <w:rPr>
          <w:rFonts w:ascii="Times New Roman" w:hAnsi="Times New Roman" w:cs="Times New Roman"/>
          <w:sz w:val="28"/>
          <w:szCs w:val="28"/>
        </w:rPr>
        <w:t xml:space="preserve"> </w:t>
      </w:r>
      <w:r w:rsidR="000431C9">
        <w:rPr>
          <w:rFonts w:ascii="Times New Roman" w:hAnsi="Times New Roman" w:cs="Times New Roman"/>
          <w:sz w:val="28"/>
          <w:szCs w:val="28"/>
        </w:rPr>
        <w:t>[5,6]</w:t>
      </w:r>
      <w:r w:rsidRPr="000960E6">
        <w:rPr>
          <w:rFonts w:ascii="Times New Roman" w:hAnsi="Times New Roman" w:cs="Times New Roman"/>
          <w:sz w:val="28"/>
          <w:szCs w:val="28"/>
        </w:rPr>
        <w:t>. Существует большое количество подразделений кредитов. Например, для физических лиц  к видам кредитных продуктов относятся потребительские залоговые и беззалоговые кредиты, рефинансирование, кредитные карты, ипотека, кредиты на автомобили (автокредиты). Юридические же лица, в большинстве своём, отдают предпочтение следующим кредитам: лизинг, кредитная линия, овердрафт, инвестиционный заём,  коммерческая ипотека, форфейтинг и факторинг. В данной работе подробно будет рассмотрено последнее направление кредитной продукции.</w:t>
      </w:r>
      <w:r w:rsidR="00EC7215">
        <w:rPr>
          <w:rFonts w:ascii="Times New Roman" w:hAnsi="Times New Roman" w:cs="Times New Roman"/>
          <w:sz w:val="28"/>
          <w:szCs w:val="28"/>
        </w:rPr>
        <w:t xml:space="preserve"> </w:t>
      </w:r>
    </w:p>
    <w:p w:rsidR="000960E6" w:rsidRPr="00283C08" w:rsidRDefault="000960E6" w:rsidP="000960E6">
      <w:pPr>
        <w:spacing w:after="0" w:line="288" w:lineRule="auto"/>
        <w:ind w:left="-567"/>
        <w:jc w:val="both"/>
        <w:rPr>
          <w:rFonts w:ascii="Times New Roman" w:hAnsi="Times New Roman" w:cs="Times New Roman"/>
          <w:sz w:val="28"/>
          <w:szCs w:val="28"/>
        </w:rPr>
      </w:pPr>
      <w:r w:rsidRPr="00EC7215">
        <w:rPr>
          <w:rFonts w:ascii="Times New Roman" w:hAnsi="Times New Roman" w:cs="Times New Roman"/>
          <w:sz w:val="28"/>
          <w:szCs w:val="28"/>
        </w:rPr>
        <w:tab/>
        <w:t xml:space="preserve">  </w:t>
      </w:r>
      <w:r w:rsidRPr="000960E6">
        <w:rPr>
          <w:rFonts w:ascii="Times New Roman" w:hAnsi="Times New Roman" w:cs="Times New Roman"/>
          <w:sz w:val="28"/>
          <w:szCs w:val="28"/>
        </w:rPr>
        <w:t>Особым видом кредитных продуктов можно назвать факторинг. Факторингом является обмен будущей выручки на финансовые ресурсы (продажа блага с правилом отсрочки платежа с выставлением счета покупателю). Совокупность финансовых услуг, которые оказываются клиенту в обмен на уступку дебиторской задолженности, состоит из финансирования поставок продуктов, страхования кредитных рисков, учета состояния дебиторской задолженности и работу с дебиторами по своевременной оплате. По-иному же можно сказать, что факторинг есть обмен будущей выручки на деньги. Например, продавец продал изделие с условием отсрочки или рассрочки платежа и выставил счет клиенту. Такой  счет будет являться обещанием будущей выручки, но средства от покупателя пока не получены. Банк, микрофинансовая организация (МФО) или факторинговое предприятие принимают  счет и оплачивают его раньше, нежели это сделает покупатель. Так, в расчетах между производителем и потребителем становится посредн</w:t>
      </w:r>
      <w:r w:rsidR="00080E87">
        <w:rPr>
          <w:rFonts w:ascii="Times New Roman" w:hAnsi="Times New Roman" w:cs="Times New Roman"/>
          <w:sz w:val="28"/>
          <w:szCs w:val="28"/>
        </w:rPr>
        <w:t>ик — фактор</w:t>
      </w:r>
      <w:r w:rsidR="000431C9" w:rsidRPr="000431C9">
        <w:rPr>
          <w:rFonts w:ascii="Times New Roman" w:hAnsi="Times New Roman" w:cs="Times New Roman"/>
          <w:sz w:val="28"/>
          <w:szCs w:val="28"/>
        </w:rPr>
        <w:t xml:space="preserve"> </w:t>
      </w:r>
      <w:r w:rsidR="00EC7215" w:rsidRPr="00EC7215">
        <w:rPr>
          <w:rFonts w:ascii="Times New Roman" w:hAnsi="Times New Roman" w:cs="Times New Roman"/>
          <w:sz w:val="28"/>
          <w:szCs w:val="28"/>
        </w:rPr>
        <w:t>[</w:t>
      </w:r>
      <w:r w:rsidR="00EC7215" w:rsidRPr="00283C08">
        <w:rPr>
          <w:rFonts w:ascii="Times New Roman" w:hAnsi="Times New Roman" w:cs="Times New Roman"/>
          <w:sz w:val="28"/>
          <w:szCs w:val="28"/>
        </w:rPr>
        <w:t>1]</w:t>
      </w:r>
      <w:r w:rsidR="00080E87">
        <w:rPr>
          <w:rFonts w:ascii="Times New Roman" w:hAnsi="Times New Roman" w:cs="Times New Roman"/>
          <w:sz w:val="28"/>
          <w:szCs w:val="28"/>
        </w:rPr>
        <w:t>.</w:t>
      </w:r>
    </w:p>
    <w:p w:rsidR="000960E6" w:rsidRPr="000960E6" w:rsidRDefault="00EC7215" w:rsidP="000960E6">
      <w:pPr>
        <w:spacing w:after="0" w:line="288" w:lineRule="auto"/>
        <w:ind w:left="-567"/>
        <w:jc w:val="both"/>
        <w:rPr>
          <w:rFonts w:ascii="Times New Roman" w:hAnsi="Times New Roman" w:cs="Times New Roman"/>
          <w:sz w:val="28"/>
          <w:szCs w:val="28"/>
        </w:rPr>
      </w:pPr>
      <w:r w:rsidRPr="00EC7215">
        <w:rPr>
          <w:rFonts w:ascii="Times New Roman" w:hAnsi="Times New Roman" w:cs="Times New Roman"/>
          <w:sz w:val="28"/>
          <w:szCs w:val="28"/>
        </w:rPr>
        <w:tab/>
      </w:r>
      <w:r>
        <w:rPr>
          <w:rFonts w:ascii="Times New Roman" w:hAnsi="Times New Roman" w:cs="Times New Roman"/>
          <w:sz w:val="28"/>
          <w:szCs w:val="28"/>
        </w:rPr>
        <w:t xml:space="preserve">  </w:t>
      </w:r>
      <w:r w:rsidR="000960E6" w:rsidRPr="000960E6">
        <w:rPr>
          <w:rFonts w:ascii="Times New Roman" w:hAnsi="Times New Roman" w:cs="Times New Roman"/>
          <w:sz w:val="28"/>
          <w:szCs w:val="28"/>
        </w:rPr>
        <w:t xml:space="preserve">Фактор сам проверяет клиента перед покупкой и контролирует возврат финансов. Фактор – это специальная организация, может являться кредитной, которая предоставляет факторинговые услуги. Фактором может быть как банк, так и сама факторинговая или микрокредитная компания. Фактор проверяет платежеспособность покупателей, определяет лимит на поставки и предоставляет рекомендации по срокам отсрочки платежа, что устраняет кассовые разрывы и крайне удобно для ведения бизнеса. </w:t>
      </w:r>
    </w:p>
    <w:p w:rsidR="000960E6" w:rsidRPr="000960E6" w:rsidRDefault="000960E6" w:rsidP="000960E6">
      <w:pPr>
        <w:spacing w:after="0" w:line="288" w:lineRule="auto"/>
        <w:ind w:left="-567"/>
        <w:jc w:val="both"/>
        <w:rPr>
          <w:rFonts w:ascii="Times New Roman" w:hAnsi="Times New Roman" w:cs="Times New Roman"/>
          <w:sz w:val="28"/>
          <w:szCs w:val="28"/>
        </w:rPr>
      </w:pPr>
      <w:r w:rsidRPr="000960E6">
        <w:rPr>
          <w:rFonts w:ascii="Times New Roman" w:hAnsi="Times New Roman" w:cs="Times New Roman"/>
          <w:sz w:val="28"/>
          <w:szCs w:val="28"/>
        </w:rPr>
        <w:t>Нельзя не отметить недостатки факторинга:</w:t>
      </w:r>
    </w:p>
    <w:p w:rsidR="000960E6" w:rsidRPr="000960E6" w:rsidRDefault="000960E6" w:rsidP="000960E6">
      <w:pPr>
        <w:spacing w:after="0" w:line="288" w:lineRule="auto"/>
        <w:ind w:left="-567"/>
        <w:jc w:val="both"/>
        <w:rPr>
          <w:rFonts w:ascii="Times New Roman" w:hAnsi="Times New Roman" w:cs="Times New Roman"/>
          <w:sz w:val="28"/>
          <w:szCs w:val="28"/>
        </w:rPr>
      </w:pPr>
      <w:r w:rsidRPr="000960E6">
        <w:rPr>
          <w:rFonts w:ascii="Times New Roman" w:hAnsi="Times New Roman" w:cs="Times New Roman"/>
          <w:sz w:val="28"/>
          <w:szCs w:val="28"/>
        </w:rPr>
        <w:lastRenderedPageBreak/>
        <w:t>1.</w:t>
      </w:r>
      <w:r w:rsidRPr="000960E6">
        <w:rPr>
          <w:rFonts w:ascii="Times New Roman" w:hAnsi="Times New Roman" w:cs="Times New Roman"/>
          <w:sz w:val="28"/>
          <w:szCs w:val="28"/>
        </w:rPr>
        <w:tab/>
        <w:t>Работа исключительно с договорами на отсрочку платежа, а не с условием немедленной оплаты, так как он не может работать страховкой в случае задержки оплаты;</w:t>
      </w:r>
    </w:p>
    <w:p w:rsidR="000960E6" w:rsidRPr="000960E6" w:rsidRDefault="000960E6" w:rsidP="000960E6">
      <w:pPr>
        <w:spacing w:after="0" w:line="288" w:lineRule="auto"/>
        <w:ind w:left="-567"/>
        <w:jc w:val="both"/>
        <w:rPr>
          <w:rFonts w:ascii="Times New Roman" w:hAnsi="Times New Roman" w:cs="Times New Roman"/>
          <w:sz w:val="28"/>
          <w:szCs w:val="28"/>
        </w:rPr>
      </w:pPr>
      <w:r w:rsidRPr="000960E6">
        <w:rPr>
          <w:rFonts w:ascii="Times New Roman" w:hAnsi="Times New Roman" w:cs="Times New Roman"/>
          <w:sz w:val="28"/>
          <w:szCs w:val="28"/>
        </w:rPr>
        <w:t>2.</w:t>
      </w:r>
      <w:r w:rsidRPr="000960E6">
        <w:rPr>
          <w:rFonts w:ascii="Times New Roman" w:hAnsi="Times New Roman" w:cs="Times New Roman"/>
          <w:sz w:val="28"/>
          <w:szCs w:val="28"/>
        </w:rPr>
        <w:tab/>
        <w:t>Безналичный расчет;</w:t>
      </w:r>
    </w:p>
    <w:p w:rsidR="000960E6" w:rsidRPr="000960E6" w:rsidRDefault="000960E6" w:rsidP="000960E6">
      <w:pPr>
        <w:spacing w:after="0" w:line="288" w:lineRule="auto"/>
        <w:ind w:left="-567"/>
        <w:jc w:val="both"/>
        <w:rPr>
          <w:rFonts w:ascii="Times New Roman" w:hAnsi="Times New Roman" w:cs="Times New Roman"/>
          <w:sz w:val="28"/>
          <w:szCs w:val="28"/>
        </w:rPr>
      </w:pPr>
      <w:r w:rsidRPr="000960E6">
        <w:rPr>
          <w:rFonts w:ascii="Times New Roman" w:hAnsi="Times New Roman" w:cs="Times New Roman"/>
          <w:sz w:val="28"/>
          <w:szCs w:val="28"/>
        </w:rPr>
        <w:t>3.</w:t>
      </w:r>
      <w:r w:rsidRPr="000960E6">
        <w:rPr>
          <w:rFonts w:ascii="Times New Roman" w:hAnsi="Times New Roman" w:cs="Times New Roman"/>
          <w:sz w:val="28"/>
          <w:szCs w:val="28"/>
        </w:rPr>
        <w:tab/>
        <w:t>Большое количество документов – по бизнесу, по клиентам, анкеты и оборотно-сальдовые ведомства, счета-фактуры, накладные и прочая документация по поставкам;</w:t>
      </w:r>
    </w:p>
    <w:p w:rsidR="000960E6" w:rsidRPr="000960E6" w:rsidRDefault="000960E6" w:rsidP="000960E6">
      <w:pPr>
        <w:spacing w:after="0" w:line="288" w:lineRule="auto"/>
        <w:ind w:left="-567"/>
        <w:jc w:val="both"/>
        <w:rPr>
          <w:rFonts w:ascii="Times New Roman" w:hAnsi="Times New Roman" w:cs="Times New Roman"/>
          <w:sz w:val="28"/>
          <w:szCs w:val="28"/>
        </w:rPr>
      </w:pPr>
      <w:r w:rsidRPr="000960E6">
        <w:rPr>
          <w:rFonts w:ascii="Times New Roman" w:hAnsi="Times New Roman" w:cs="Times New Roman"/>
          <w:sz w:val="28"/>
          <w:szCs w:val="28"/>
        </w:rPr>
        <w:t>4.</w:t>
      </w:r>
      <w:r w:rsidRPr="000960E6">
        <w:rPr>
          <w:rFonts w:ascii="Times New Roman" w:hAnsi="Times New Roman" w:cs="Times New Roman"/>
          <w:sz w:val="28"/>
          <w:szCs w:val="28"/>
        </w:rPr>
        <w:tab/>
        <w:t xml:space="preserve">Фиксированные сроки оплаты. </w:t>
      </w:r>
    </w:p>
    <w:p w:rsidR="000960E6" w:rsidRPr="000960E6" w:rsidRDefault="00EC7215" w:rsidP="000960E6">
      <w:pPr>
        <w:spacing w:after="0" w:line="288" w:lineRule="auto"/>
        <w:ind w:left="-567"/>
        <w:jc w:val="both"/>
        <w:rPr>
          <w:rFonts w:ascii="Times New Roman" w:hAnsi="Times New Roman" w:cs="Times New Roman"/>
          <w:sz w:val="28"/>
          <w:szCs w:val="28"/>
        </w:rPr>
      </w:pPr>
      <w:r w:rsidRPr="00283C08">
        <w:rPr>
          <w:rFonts w:ascii="Times New Roman" w:hAnsi="Times New Roman" w:cs="Times New Roman"/>
          <w:sz w:val="28"/>
          <w:szCs w:val="28"/>
        </w:rPr>
        <w:tab/>
      </w:r>
      <w:r w:rsidRPr="00EC7215">
        <w:rPr>
          <w:rFonts w:ascii="Times New Roman" w:hAnsi="Times New Roman" w:cs="Times New Roman"/>
          <w:sz w:val="28"/>
          <w:szCs w:val="28"/>
        </w:rPr>
        <w:t xml:space="preserve">  </w:t>
      </w:r>
      <w:r w:rsidR="000960E6" w:rsidRPr="000960E6">
        <w:rPr>
          <w:rFonts w:ascii="Times New Roman" w:hAnsi="Times New Roman" w:cs="Times New Roman"/>
          <w:sz w:val="28"/>
          <w:szCs w:val="28"/>
        </w:rPr>
        <w:t xml:space="preserve">Далее стоит разобрать, в чём же заключается сама работа факторинга. Сначала покупатель заключает договор (описанный ранее) и рассчитывается безналичным методом. Затем при поставке продукции на балансе появляется дебиторская задолженность (счет на оплату в будущем), с которой нужно прийти на отсрочку к фактору. Он предоставляет финансирование в обмен на счет будущей оплаты, после чего обсуждается документооборот. Это означает, что покупатель должен будет оплачивать свой платёж не по реквизитам продавца, а уже по новым реквизитам фактора. Факторинговая организация обеспечивает производителю первый платёж – финансирование, размер которого начинается от 70% и заканчивается 99,5%, но зачастую он 80-90% от всей суммы поставки. После чего клиент переводит денежные средства на счет фактора в 100%-м размере. Бывает такое, что фактор при первой оплате перечисляет продавцу не все средства, то тогда он убирает из полученных финансов от покупателя сумму первой оплаты и перечисляет второй платеж. </w:t>
      </w:r>
    </w:p>
    <w:p w:rsidR="000960E6" w:rsidRPr="00080E87" w:rsidRDefault="00EC7215" w:rsidP="000960E6">
      <w:pPr>
        <w:spacing w:after="0" w:line="288" w:lineRule="auto"/>
        <w:ind w:left="-567"/>
        <w:jc w:val="both"/>
        <w:rPr>
          <w:rFonts w:ascii="Times New Roman" w:hAnsi="Times New Roman" w:cs="Times New Roman"/>
          <w:sz w:val="28"/>
          <w:szCs w:val="28"/>
        </w:rPr>
      </w:pPr>
      <w:r w:rsidRPr="00283C08">
        <w:rPr>
          <w:rFonts w:ascii="Times New Roman" w:hAnsi="Times New Roman" w:cs="Times New Roman"/>
          <w:sz w:val="28"/>
          <w:szCs w:val="28"/>
        </w:rPr>
        <w:tab/>
      </w:r>
      <w:r w:rsidRPr="00EC7215">
        <w:rPr>
          <w:rFonts w:ascii="Times New Roman" w:hAnsi="Times New Roman" w:cs="Times New Roman"/>
          <w:sz w:val="28"/>
          <w:szCs w:val="28"/>
        </w:rPr>
        <w:t xml:space="preserve">  </w:t>
      </w:r>
      <w:r w:rsidR="000960E6" w:rsidRPr="000960E6">
        <w:rPr>
          <w:rFonts w:ascii="Times New Roman" w:hAnsi="Times New Roman" w:cs="Times New Roman"/>
          <w:sz w:val="28"/>
          <w:szCs w:val="28"/>
        </w:rPr>
        <w:t xml:space="preserve">Существует также и комиссия, которая обязательна к уплате (например, продавцом фактору). Она состоит из трёх частей: за использование денежных средств на период отсрочки в % годовых, за документооборот и за оценку финансового положения потребителя и его взаимодействия. Стоимость факторинга лучше рассчитывать как % от суммы одной поставки; диапазон предложений рынка = с 0,5 до 4%. Выплата комиссии зависит от вида факторинга и его условий, также она происходит при выдаче финансирования либо же после получения фактором полной оплаты от клиента. При несвоевременной выплате некоторые факторы могут позволить увеличить комиссию за каждый просроченный день. Документооборот в электронном формате между клиентом и факторинговой организацией уменьшает стоимость факторинга. </w:t>
      </w:r>
      <w:r w:rsidRPr="00080E87">
        <w:rPr>
          <w:rFonts w:ascii="Times New Roman" w:hAnsi="Times New Roman" w:cs="Times New Roman"/>
          <w:sz w:val="28"/>
          <w:szCs w:val="28"/>
        </w:rPr>
        <w:t>[2]</w:t>
      </w:r>
    </w:p>
    <w:p w:rsidR="000960E6" w:rsidRPr="000960E6" w:rsidRDefault="00EC7215" w:rsidP="000960E6">
      <w:pPr>
        <w:spacing w:after="0" w:line="288" w:lineRule="auto"/>
        <w:ind w:left="-567"/>
        <w:jc w:val="both"/>
        <w:rPr>
          <w:rFonts w:ascii="Times New Roman" w:hAnsi="Times New Roman" w:cs="Times New Roman"/>
          <w:sz w:val="28"/>
          <w:szCs w:val="28"/>
        </w:rPr>
      </w:pPr>
      <w:r w:rsidRPr="00080E87">
        <w:rPr>
          <w:rFonts w:ascii="Times New Roman" w:hAnsi="Times New Roman" w:cs="Times New Roman"/>
          <w:sz w:val="28"/>
          <w:szCs w:val="28"/>
        </w:rPr>
        <w:tab/>
      </w:r>
      <w:r w:rsidRPr="00EC7215">
        <w:rPr>
          <w:rFonts w:ascii="Times New Roman" w:hAnsi="Times New Roman" w:cs="Times New Roman"/>
          <w:sz w:val="28"/>
          <w:szCs w:val="28"/>
        </w:rPr>
        <w:t xml:space="preserve">  </w:t>
      </w:r>
      <w:r w:rsidR="000960E6" w:rsidRPr="000960E6">
        <w:rPr>
          <w:rFonts w:ascii="Times New Roman" w:hAnsi="Times New Roman" w:cs="Times New Roman"/>
          <w:sz w:val="28"/>
          <w:szCs w:val="28"/>
        </w:rPr>
        <w:t xml:space="preserve">Многое познаётся в сравнении – чтобы узнать, действительно ли факторинг можно рассматривать в качестве альтернативы кредита, необходимо разобрать их различия. Так, например, кредитные ресурсы, которые предприятие получило в рамках факторинга, могут быть направлены на выплату зарплат сотрудников, </w:t>
      </w:r>
      <w:r w:rsidR="000960E6" w:rsidRPr="000960E6">
        <w:rPr>
          <w:rFonts w:ascii="Times New Roman" w:hAnsi="Times New Roman" w:cs="Times New Roman"/>
          <w:sz w:val="28"/>
          <w:szCs w:val="28"/>
        </w:rPr>
        <w:lastRenderedPageBreak/>
        <w:t xml:space="preserve">оплату налогов и прочие расходы компании (то есть, на любые цели). А в случае получения банковского кредита фирма может направить средства только на цели, указанные в кредитном договоре. Существует также пару особенностей по данной теме. Факторинговые сделки заключаются на внутреннем и международном рынках, также при оформлении сделок может применяться регресс. </w:t>
      </w:r>
    </w:p>
    <w:p w:rsidR="000960E6" w:rsidRDefault="000960E6" w:rsidP="000960E6">
      <w:pPr>
        <w:spacing w:after="0" w:line="288" w:lineRule="auto"/>
        <w:ind w:left="-567"/>
        <w:jc w:val="both"/>
        <w:rPr>
          <w:rFonts w:ascii="Times New Roman" w:hAnsi="Times New Roman" w:cs="Times New Roman"/>
          <w:sz w:val="28"/>
          <w:szCs w:val="28"/>
        </w:rPr>
      </w:pPr>
      <w:r w:rsidRPr="000960E6">
        <w:rPr>
          <w:rFonts w:ascii="Times New Roman" w:hAnsi="Times New Roman" w:cs="Times New Roman"/>
          <w:sz w:val="28"/>
          <w:szCs w:val="28"/>
        </w:rPr>
        <w:t>На рисунке 1 ниже представлена схема факторинга на примере компании «Лайф».</w:t>
      </w:r>
    </w:p>
    <w:p w:rsidR="00283C08" w:rsidRDefault="00283C08" w:rsidP="000960E6">
      <w:pPr>
        <w:spacing w:after="0" w:line="288" w:lineRule="auto"/>
        <w:ind w:left="-567"/>
        <w:jc w:val="both"/>
        <w:rPr>
          <w:rFonts w:ascii="Times New Roman" w:hAnsi="Times New Roman" w:cs="Times New Roman"/>
          <w:sz w:val="28"/>
          <w:szCs w:val="28"/>
        </w:rPr>
      </w:pPr>
    </w:p>
    <w:p w:rsidR="00283C08" w:rsidRDefault="00B7637C" w:rsidP="000960E6">
      <w:pPr>
        <w:spacing w:after="0" w:line="288" w:lineRule="auto"/>
        <w:ind w:left="-567"/>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26" style="position:absolute;left:0;text-align:left;margin-left:116.7pt;margin-top:4.55pt;width:152.25pt;height:57pt;z-index:251658240">
            <v:textbox>
              <w:txbxContent>
                <w:p w:rsidR="00283C08" w:rsidRDefault="00283C08" w:rsidP="00283C08">
                  <w:pPr>
                    <w:pStyle w:val="aa"/>
                    <w:numPr>
                      <w:ilvl w:val="0"/>
                      <w:numId w:val="3"/>
                    </w:numPr>
                  </w:pPr>
                  <w:r>
                    <w:t>Отгрузка товара на условиях отсрочки платежа</w:t>
                  </w:r>
                </w:p>
              </w:txbxContent>
            </v:textbox>
          </v:rect>
        </w:pict>
      </w:r>
    </w:p>
    <w:p w:rsidR="00283C08" w:rsidRDefault="00B7637C" w:rsidP="000960E6">
      <w:pPr>
        <w:spacing w:after="0" w:line="288" w:lineRule="auto"/>
        <w:ind w:left="-567"/>
        <w:jc w:val="both"/>
        <w:rPr>
          <w:rFonts w:ascii="Times New Roman" w:hAnsi="Times New Roman" w:cs="Times New Roman"/>
          <w:sz w:val="28"/>
          <w:szCs w:val="28"/>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30" type="#_x0000_t32" style="position:absolute;left:0;text-align:left;margin-left:277.2pt;margin-top:4pt;width:60.75pt;height:23.25pt;z-index:251662336" o:connectortype="straight">
            <v:stroke endarrow="block"/>
          </v:shape>
        </w:pict>
      </w:r>
    </w:p>
    <w:p w:rsidR="00283C08" w:rsidRDefault="00283C08" w:rsidP="000960E6">
      <w:pPr>
        <w:spacing w:after="0" w:line="288" w:lineRule="auto"/>
        <w:ind w:left="-567"/>
        <w:jc w:val="both"/>
        <w:rPr>
          <w:rFonts w:ascii="Times New Roman" w:hAnsi="Times New Roman" w:cs="Times New Roman"/>
          <w:sz w:val="28"/>
          <w:szCs w:val="28"/>
        </w:rPr>
      </w:pPr>
    </w:p>
    <w:p w:rsidR="00283C08" w:rsidRDefault="00B7637C" w:rsidP="000960E6">
      <w:pPr>
        <w:spacing w:after="0" w:line="288" w:lineRule="auto"/>
        <w:ind w:left="-567"/>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27" style="position:absolute;left:0;text-align:left;margin-left:-52.05pt;margin-top:15.6pt;width:152.25pt;height:57pt;z-index:251659264">
            <v:textbox>
              <w:txbxContent>
                <w:p w:rsidR="00283C08" w:rsidRDefault="00283C08">
                  <w:r>
                    <w:t>4)  Оплата товара дебитором</w:t>
                  </w:r>
                </w:p>
              </w:txbxContent>
            </v:textbox>
          </v:rect>
        </w:pict>
      </w:r>
      <w:r>
        <w:rPr>
          <w:rFonts w:ascii="Times New Roman" w:hAnsi="Times New Roman" w:cs="Times New Roman"/>
          <w:noProof/>
          <w:sz w:val="28"/>
          <w:szCs w:val="28"/>
          <w:lang w:eastAsia="ru-RU"/>
        </w:rPr>
        <w:pict>
          <v:rect id="_x0000_s1029" style="position:absolute;left:0;text-align:left;margin-left:285.45pt;margin-top:3.6pt;width:152.25pt;height:57pt;z-index:251661312">
            <v:textbox>
              <w:txbxContent>
                <w:p w:rsidR="00283C08" w:rsidRDefault="00283C08">
                  <w:r>
                    <w:t>2)   Передача накладной в Лайф Факторинг</w:t>
                  </w:r>
                </w:p>
              </w:txbxContent>
            </v:textbox>
          </v:rect>
        </w:pict>
      </w:r>
    </w:p>
    <w:p w:rsidR="00283C08" w:rsidRDefault="00283C08" w:rsidP="000960E6">
      <w:pPr>
        <w:spacing w:after="0" w:line="288" w:lineRule="auto"/>
        <w:ind w:left="-567"/>
        <w:jc w:val="both"/>
        <w:rPr>
          <w:rFonts w:ascii="Times New Roman" w:hAnsi="Times New Roman" w:cs="Times New Roman"/>
          <w:sz w:val="28"/>
          <w:szCs w:val="28"/>
        </w:rPr>
      </w:pPr>
    </w:p>
    <w:p w:rsidR="00283C08" w:rsidRDefault="00283C08" w:rsidP="000960E6">
      <w:pPr>
        <w:spacing w:after="0" w:line="288" w:lineRule="auto"/>
        <w:ind w:left="-567"/>
        <w:jc w:val="both"/>
        <w:rPr>
          <w:rFonts w:ascii="Times New Roman" w:hAnsi="Times New Roman" w:cs="Times New Roman"/>
          <w:sz w:val="28"/>
          <w:szCs w:val="28"/>
        </w:rPr>
      </w:pPr>
    </w:p>
    <w:p w:rsidR="00283C08" w:rsidRDefault="00B7637C" w:rsidP="000960E6">
      <w:pPr>
        <w:spacing w:after="0" w:line="288" w:lineRule="auto"/>
        <w:ind w:left="-567"/>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31" type="#_x0000_t32" style="position:absolute;left:0;text-align:left;margin-left:289.2pt;margin-top:9.4pt;width:53.25pt;height:47.25pt;flip:x;z-index:251663360" o:connectortype="straight">
            <v:stroke endarrow="block"/>
          </v:shape>
        </w:pict>
      </w:r>
    </w:p>
    <w:p w:rsidR="00283C08" w:rsidRDefault="00B7637C" w:rsidP="000960E6">
      <w:pPr>
        <w:spacing w:after="0" w:line="288" w:lineRule="auto"/>
        <w:ind w:left="-567"/>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32" type="#_x0000_t32" style="position:absolute;left:0;text-align:left;margin-left:48.45pt;margin-top:7.3pt;width:60pt;height:35.25pt;flip:x y;z-index:251664384" o:connectortype="straight">
            <v:stroke endarrow="block"/>
          </v:shape>
        </w:pict>
      </w:r>
      <w:r>
        <w:rPr>
          <w:rFonts w:ascii="Times New Roman" w:hAnsi="Times New Roman" w:cs="Times New Roman"/>
          <w:noProof/>
          <w:sz w:val="28"/>
          <w:szCs w:val="28"/>
          <w:lang w:eastAsia="ru-RU"/>
        </w:rPr>
        <w:pict>
          <v:rect id="_x0000_s1028" style="position:absolute;left:0;text-align:left;margin-left:120.45pt;margin-top:11.05pt;width:152.25pt;height:57pt;z-index:251660288">
            <v:textbox>
              <w:txbxContent>
                <w:p w:rsidR="00283C08" w:rsidRDefault="00283C08">
                  <w:r>
                    <w:t>3)  Финансирование накладной клиента</w:t>
                  </w:r>
                </w:p>
              </w:txbxContent>
            </v:textbox>
          </v:rect>
        </w:pict>
      </w:r>
    </w:p>
    <w:p w:rsidR="00283C08" w:rsidRDefault="00283C08" w:rsidP="000960E6">
      <w:pPr>
        <w:spacing w:after="0" w:line="288" w:lineRule="auto"/>
        <w:ind w:left="-567"/>
        <w:jc w:val="both"/>
        <w:rPr>
          <w:rFonts w:ascii="Times New Roman" w:hAnsi="Times New Roman" w:cs="Times New Roman"/>
          <w:sz w:val="28"/>
          <w:szCs w:val="28"/>
        </w:rPr>
      </w:pPr>
    </w:p>
    <w:p w:rsidR="00283C08" w:rsidRDefault="00283C08" w:rsidP="000960E6">
      <w:pPr>
        <w:spacing w:after="0" w:line="288" w:lineRule="auto"/>
        <w:ind w:left="-567"/>
        <w:jc w:val="both"/>
        <w:rPr>
          <w:rFonts w:ascii="Times New Roman" w:hAnsi="Times New Roman" w:cs="Times New Roman"/>
          <w:sz w:val="28"/>
          <w:szCs w:val="28"/>
        </w:rPr>
      </w:pPr>
    </w:p>
    <w:p w:rsidR="00283C08" w:rsidRPr="000960E6" w:rsidRDefault="00283C08" w:rsidP="000960E6">
      <w:pPr>
        <w:spacing w:after="0" w:line="288" w:lineRule="auto"/>
        <w:ind w:left="-567"/>
        <w:jc w:val="both"/>
        <w:rPr>
          <w:rFonts w:ascii="Times New Roman" w:hAnsi="Times New Roman" w:cs="Times New Roman"/>
          <w:sz w:val="28"/>
          <w:szCs w:val="28"/>
        </w:rPr>
      </w:pPr>
    </w:p>
    <w:p w:rsidR="000960E6" w:rsidRPr="000960E6" w:rsidRDefault="000960E6" w:rsidP="000960E6">
      <w:pPr>
        <w:spacing w:after="0" w:line="288" w:lineRule="auto"/>
        <w:ind w:left="-567"/>
        <w:jc w:val="both"/>
        <w:rPr>
          <w:rFonts w:ascii="Times New Roman" w:hAnsi="Times New Roman" w:cs="Times New Roman"/>
          <w:sz w:val="28"/>
          <w:szCs w:val="28"/>
        </w:rPr>
      </w:pPr>
      <w:r w:rsidRPr="000960E6">
        <w:rPr>
          <w:rFonts w:ascii="Times New Roman" w:hAnsi="Times New Roman" w:cs="Times New Roman"/>
          <w:sz w:val="28"/>
          <w:szCs w:val="28"/>
        </w:rPr>
        <w:t xml:space="preserve"> </w:t>
      </w:r>
    </w:p>
    <w:p w:rsidR="000960E6" w:rsidRPr="00EC7215" w:rsidRDefault="000960E6" w:rsidP="00EC7215">
      <w:pPr>
        <w:spacing w:after="0" w:line="288" w:lineRule="auto"/>
        <w:ind w:left="-567"/>
        <w:jc w:val="center"/>
        <w:rPr>
          <w:rFonts w:ascii="Times New Roman" w:hAnsi="Times New Roman" w:cs="Times New Roman"/>
          <w:i/>
          <w:color w:val="7F7F7F" w:themeColor="text1" w:themeTint="80"/>
          <w:sz w:val="28"/>
          <w:szCs w:val="28"/>
        </w:rPr>
      </w:pPr>
      <w:r w:rsidRPr="00EC7215">
        <w:rPr>
          <w:rFonts w:ascii="Times New Roman" w:hAnsi="Times New Roman" w:cs="Times New Roman"/>
          <w:i/>
          <w:color w:val="7F7F7F" w:themeColor="text1" w:themeTint="80"/>
          <w:sz w:val="28"/>
          <w:szCs w:val="28"/>
        </w:rPr>
        <w:t>Рисунок 1 - Схема факторинга на примере компании "Лайф"</w:t>
      </w:r>
    </w:p>
    <w:p w:rsidR="000960E6" w:rsidRPr="00283C08" w:rsidRDefault="000960E6" w:rsidP="000960E6">
      <w:pPr>
        <w:spacing w:after="0" w:line="288" w:lineRule="auto"/>
        <w:ind w:left="-567"/>
        <w:jc w:val="both"/>
        <w:rPr>
          <w:rFonts w:ascii="Times New Roman" w:hAnsi="Times New Roman" w:cs="Times New Roman"/>
          <w:sz w:val="28"/>
          <w:szCs w:val="28"/>
        </w:rPr>
      </w:pPr>
    </w:p>
    <w:p w:rsidR="000960E6" w:rsidRPr="000960E6" w:rsidRDefault="00EC7215" w:rsidP="000960E6">
      <w:pPr>
        <w:spacing w:after="0" w:line="288" w:lineRule="auto"/>
        <w:ind w:left="-567"/>
        <w:jc w:val="both"/>
        <w:rPr>
          <w:rFonts w:ascii="Times New Roman" w:hAnsi="Times New Roman" w:cs="Times New Roman"/>
          <w:sz w:val="28"/>
          <w:szCs w:val="28"/>
        </w:rPr>
      </w:pPr>
      <w:r w:rsidRPr="00283C08">
        <w:rPr>
          <w:rFonts w:ascii="Times New Roman" w:hAnsi="Times New Roman" w:cs="Times New Roman"/>
          <w:sz w:val="28"/>
          <w:szCs w:val="28"/>
        </w:rPr>
        <w:tab/>
      </w:r>
      <w:r w:rsidRPr="00EC7215">
        <w:rPr>
          <w:rFonts w:ascii="Times New Roman" w:hAnsi="Times New Roman" w:cs="Times New Roman"/>
          <w:sz w:val="28"/>
          <w:szCs w:val="28"/>
        </w:rPr>
        <w:t xml:space="preserve">   </w:t>
      </w:r>
      <w:r w:rsidR="000960E6" w:rsidRPr="000960E6">
        <w:rPr>
          <w:rFonts w:ascii="Times New Roman" w:hAnsi="Times New Roman" w:cs="Times New Roman"/>
          <w:sz w:val="28"/>
          <w:szCs w:val="28"/>
        </w:rPr>
        <w:t>Факторинг, как и любые другие категории кредитования, имеет свои виды. Для начала, к рассмотрению будут представлены виды факторинга.</w:t>
      </w:r>
    </w:p>
    <w:p w:rsidR="000960E6" w:rsidRPr="000960E6" w:rsidRDefault="00EC7215" w:rsidP="000960E6">
      <w:pPr>
        <w:spacing w:after="0" w:line="288" w:lineRule="auto"/>
        <w:ind w:left="-567"/>
        <w:jc w:val="both"/>
        <w:rPr>
          <w:rFonts w:ascii="Times New Roman" w:hAnsi="Times New Roman" w:cs="Times New Roman"/>
          <w:sz w:val="28"/>
          <w:szCs w:val="28"/>
        </w:rPr>
      </w:pPr>
      <w:r w:rsidRPr="00080E87">
        <w:rPr>
          <w:rFonts w:ascii="Times New Roman" w:hAnsi="Times New Roman" w:cs="Times New Roman"/>
          <w:sz w:val="28"/>
          <w:szCs w:val="28"/>
        </w:rPr>
        <w:tab/>
      </w:r>
      <w:r w:rsidRPr="00EC7215">
        <w:rPr>
          <w:rFonts w:ascii="Times New Roman" w:hAnsi="Times New Roman" w:cs="Times New Roman"/>
          <w:sz w:val="28"/>
          <w:szCs w:val="28"/>
        </w:rPr>
        <w:t xml:space="preserve">   </w:t>
      </w:r>
      <w:r w:rsidR="000960E6" w:rsidRPr="000960E6">
        <w:rPr>
          <w:rFonts w:ascii="Times New Roman" w:hAnsi="Times New Roman" w:cs="Times New Roman"/>
          <w:sz w:val="28"/>
          <w:szCs w:val="28"/>
        </w:rPr>
        <w:t>1)</w:t>
      </w:r>
      <w:r w:rsidR="000960E6" w:rsidRPr="000960E6">
        <w:rPr>
          <w:rFonts w:ascii="Times New Roman" w:hAnsi="Times New Roman" w:cs="Times New Roman"/>
          <w:sz w:val="28"/>
          <w:szCs w:val="28"/>
        </w:rPr>
        <w:tab/>
        <w:t>Факторинг с регрессом – при данной группе факторинга агент имеет право просить у кредитора те денежные средства, которые не выплатил должник. То есть, если клиент отказывается выполнять обязательства по платежам, то приходится кредитору брать ответственность на себя. Допустим, производитель дал право финансовому агенту запрашивать с потребителя полмиллиона рублей, но, по итогу, клиент заплатит на 100 000 рублей меньше назначенной суммы, то при факторинге с регрессом агент может настаивать на выплате с производителя данные 100 000 рублей. Ценность данного вида факторинга меньше, нежели факторинг с отсутствием регресса, ибо регресс позволяет перекладывать риск неоплаты н</w:t>
      </w:r>
      <w:r>
        <w:rPr>
          <w:rFonts w:ascii="Times New Roman" w:hAnsi="Times New Roman" w:cs="Times New Roman"/>
          <w:sz w:val="28"/>
          <w:szCs w:val="28"/>
        </w:rPr>
        <w:t xml:space="preserve">а кредитора, а не на фактора.  </w:t>
      </w:r>
      <w:r w:rsidRPr="00EC7215">
        <w:rPr>
          <w:rFonts w:ascii="Times New Roman" w:hAnsi="Times New Roman" w:cs="Times New Roman"/>
          <w:sz w:val="28"/>
          <w:szCs w:val="28"/>
        </w:rPr>
        <w:t xml:space="preserve"> </w:t>
      </w:r>
      <w:r w:rsidR="000960E6" w:rsidRPr="000960E6">
        <w:rPr>
          <w:rFonts w:ascii="Times New Roman" w:hAnsi="Times New Roman" w:cs="Times New Roman"/>
          <w:sz w:val="28"/>
          <w:szCs w:val="28"/>
        </w:rPr>
        <w:t xml:space="preserve">К положительным сторонам такого вида факторинга можно отнести бесперебойное финансирование, установленные рамки на федеральные торговые сети, залог при финансировании необязателен, документооборот в электронном формате, расширение границ по мере увеличения продаж, скоростная процедура по принятии решений, отсутствие штрафов при </w:t>
      </w:r>
      <w:r w:rsidR="000960E6" w:rsidRPr="000960E6">
        <w:rPr>
          <w:rFonts w:ascii="Times New Roman" w:hAnsi="Times New Roman" w:cs="Times New Roman"/>
          <w:sz w:val="28"/>
          <w:szCs w:val="28"/>
        </w:rPr>
        <w:lastRenderedPageBreak/>
        <w:t xml:space="preserve">льготной длительности ожидания, небольшой пакет документов и комиссии. Данный тип факторинга подходит больше всего кредиторам, работающим с проверенными должниками. </w:t>
      </w:r>
    </w:p>
    <w:p w:rsidR="000960E6" w:rsidRPr="000960E6" w:rsidRDefault="00EC7215" w:rsidP="000960E6">
      <w:pPr>
        <w:spacing w:after="0" w:line="288" w:lineRule="auto"/>
        <w:ind w:left="-567"/>
        <w:jc w:val="both"/>
        <w:rPr>
          <w:rFonts w:ascii="Times New Roman" w:hAnsi="Times New Roman" w:cs="Times New Roman"/>
          <w:sz w:val="28"/>
          <w:szCs w:val="28"/>
        </w:rPr>
      </w:pPr>
      <w:r w:rsidRPr="00283C08">
        <w:rPr>
          <w:rFonts w:ascii="Times New Roman" w:hAnsi="Times New Roman" w:cs="Times New Roman"/>
          <w:sz w:val="28"/>
          <w:szCs w:val="28"/>
        </w:rPr>
        <w:tab/>
      </w:r>
      <w:r w:rsidRPr="00EC7215">
        <w:rPr>
          <w:rFonts w:ascii="Times New Roman" w:hAnsi="Times New Roman" w:cs="Times New Roman"/>
          <w:sz w:val="28"/>
          <w:szCs w:val="28"/>
        </w:rPr>
        <w:t xml:space="preserve">   </w:t>
      </w:r>
      <w:r w:rsidR="000960E6" w:rsidRPr="000960E6">
        <w:rPr>
          <w:rFonts w:ascii="Times New Roman" w:hAnsi="Times New Roman" w:cs="Times New Roman"/>
          <w:sz w:val="28"/>
          <w:szCs w:val="28"/>
        </w:rPr>
        <w:t>2)</w:t>
      </w:r>
      <w:r w:rsidR="000960E6" w:rsidRPr="000960E6">
        <w:rPr>
          <w:rFonts w:ascii="Times New Roman" w:hAnsi="Times New Roman" w:cs="Times New Roman"/>
          <w:sz w:val="28"/>
          <w:szCs w:val="28"/>
        </w:rPr>
        <w:tab/>
        <w:t>Факторинг без регресса – данной группе факторинга характерен риск неоплаты, относящийся напрямую к фактору. Финансовый агент не может просить у кредитора компенсации задолженности, при отсутствии платежа со стороны клиента. Если, при составлении договора, его участники не указывали дополнительные пункты, то автоматически такая сделка признана сделкой факторинга без регресса. Зачастую данный тип факторинга  выходит дороже обычного, так как имеется ввиду меньший масштаб финансирования, но более строгий анализ покупаемой задолженности.</w:t>
      </w:r>
    </w:p>
    <w:p w:rsidR="000960E6" w:rsidRPr="000960E6" w:rsidRDefault="000960E6" w:rsidP="000960E6">
      <w:pPr>
        <w:spacing w:after="0" w:line="288" w:lineRule="auto"/>
        <w:ind w:left="-567"/>
        <w:jc w:val="both"/>
        <w:rPr>
          <w:rFonts w:ascii="Times New Roman" w:hAnsi="Times New Roman" w:cs="Times New Roman"/>
          <w:sz w:val="28"/>
          <w:szCs w:val="28"/>
        </w:rPr>
      </w:pPr>
      <w:r w:rsidRPr="000960E6">
        <w:rPr>
          <w:rFonts w:ascii="Times New Roman" w:hAnsi="Times New Roman" w:cs="Times New Roman"/>
          <w:sz w:val="28"/>
          <w:szCs w:val="28"/>
        </w:rPr>
        <w:t xml:space="preserve">Данный вид факторинга также имеет свои преимущества, например, отсутствие залога при финансировании, целостная проверка дебиторов, страхование кредитного риска неоплаты клиентов поставщика и финансирование до полного объёма от уступленного денежного требования. </w:t>
      </w:r>
    </w:p>
    <w:p w:rsidR="000960E6" w:rsidRPr="000960E6" w:rsidRDefault="00EC7215" w:rsidP="000960E6">
      <w:pPr>
        <w:spacing w:after="0" w:line="288" w:lineRule="auto"/>
        <w:ind w:left="-567"/>
        <w:jc w:val="both"/>
        <w:rPr>
          <w:rFonts w:ascii="Times New Roman" w:hAnsi="Times New Roman" w:cs="Times New Roman"/>
          <w:sz w:val="28"/>
          <w:szCs w:val="28"/>
        </w:rPr>
      </w:pPr>
      <w:r w:rsidRPr="00283C08">
        <w:rPr>
          <w:rFonts w:ascii="Times New Roman" w:hAnsi="Times New Roman" w:cs="Times New Roman"/>
          <w:sz w:val="28"/>
          <w:szCs w:val="28"/>
        </w:rPr>
        <w:tab/>
      </w:r>
      <w:r w:rsidRPr="00EC7215">
        <w:rPr>
          <w:rFonts w:ascii="Times New Roman" w:hAnsi="Times New Roman" w:cs="Times New Roman"/>
          <w:sz w:val="28"/>
          <w:szCs w:val="28"/>
        </w:rPr>
        <w:t xml:space="preserve">   </w:t>
      </w:r>
      <w:r w:rsidR="000960E6" w:rsidRPr="000960E6">
        <w:rPr>
          <w:rFonts w:ascii="Times New Roman" w:hAnsi="Times New Roman" w:cs="Times New Roman"/>
          <w:sz w:val="28"/>
          <w:szCs w:val="28"/>
        </w:rPr>
        <w:t>3)</w:t>
      </w:r>
      <w:r w:rsidR="000960E6" w:rsidRPr="000960E6">
        <w:rPr>
          <w:rFonts w:ascii="Times New Roman" w:hAnsi="Times New Roman" w:cs="Times New Roman"/>
          <w:sz w:val="28"/>
          <w:szCs w:val="28"/>
        </w:rPr>
        <w:tab/>
        <w:t xml:space="preserve">Реверсивный факторинг – здесь договор с фактором будет подписывать потенциальный покупатель. Такая схема помогает договориться с кредитором об отсрочке платежа, ибо имеется на руках договор. Услуги фактора оплачиваются клиентом. </w:t>
      </w:r>
    </w:p>
    <w:p w:rsidR="000960E6" w:rsidRPr="000960E6" w:rsidRDefault="000960E6" w:rsidP="000960E6">
      <w:pPr>
        <w:spacing w:after="0" w:line="288" w:lineRule="auto"/>
        <w:ind w:left="-567"/>
        <w:jc w:val="both"/>
        <w:rPr>
          <w:rFonts w:ascii="Times New Roman" w:hAnsi="Times New Roman" w:cs="Times New Roman"/>
          <w:sz w:val="28"/>
          <w:szCs w:val="28"/>
        </w:rPr>
      </w:pPr>
      <w:r w:rsidRPr="000960E6">
        <w:rPr>
          <w:rFonts w:ascii="Times New Roman" w:hAnsi="Times New Roman" w:cs="Times New Roman"/>
          <w:sz w:val="28"/>
          <w:szCs w:val="28"/>
        </w:rPr>
        <w:t>Данный тип, в большинстве своем, применим при поставках продукции. Финансовые агенты определяют рамки финансирования для каждого должника индивидуально, а выплаты производителю не должны быть больше данных рамок.</w:t>
      </w:r>
    </w:p>
    <w:p w:rsidR="000960E6" w:rsidRPr="000960E6" w:rsidRDefault="00EC7215" w:rsidP="000960E6">
      <w:pPr>
        <w:spacing w:after="0" w:line="288" w:lineRule="auto"/>
        <w:ind w:left="-567"/>
        <w:jc w:val="both"/>
        <w:rPr>
          <w:rFonts w:ascii="Times New Roman" w:hAnsi="Times New Roman" w:cs="Times New Roman"/>
          <w:sz w:val="28"/>
          <w:szCs w:val="28"/>
        </w:rPr>
      </w:pPr>
      <w:r w:rsidRPr="00283C08">
        <w:rPr>
          <w:rFonts w:ascii="Times New Roman" w:hAnsi="Times New Roman" w:cs="Times New Roman"/>
          <w:sz w:val="28"/>
          <w:szCs w:val="28"/>
        </w:rPr>
        <w:tab/>
      </w:r>
      <w:r w:rsidRPr="00EC7215">
        <w:rPr>
          <w:rFonts w:ascii="Times New Roman" w:hAnsi="Times New Roman" w:cs="Times New Roman"/>
          <w:sz w:val="28"/>
          <w:szCs w:val="28"/>
        </w:rPr>
        <w:t xml:space="preserve">   </w:t>
      </w:r>
      <w:r w:rsidR="000960E6" w:rsidRPr="000960E6">
        <w:rPr>
          <w:rFonts w:ascii="Times New Roman" w:hAnsi="Times New Roman" w:cs="Times New Roman"/>
          <w:sz w:val="28"/>
          <w:szCs w:val="28"/>
        </w:rPr>
        <w:t>4)</w:t>
      </w:r>
      <w:r w:rsidR="000960E6" w:rsidRPr="000960E6">
        <w:rPr>
          <w:rFonts w:ascii="Times New Roman" w:hAnsi="Times New Roman" w:cs="Times New Roman"/>
          <w:sz w:val="28"/>
          <w:szCs w:val="28"/>
        </w:rPr>
        <w:tab/>
        <w:t xml:space="preserve">Международный факторинг – для членов внешнеэкономической сферы среди факторинговой продукции есть экспортный и импортный факторинг. При поставках фирмы благ за рубеж, отсрочка оплаты, получение валютной выручки и проведение расчетов – будут проблематичной темой, поэтому вариант подвида экспортного факторинга, отличное решение. Фактор авансирует поступление выручки от иностранного покупателя, обеспечивает соблюдение длительности платежей и валютный контроль, а при подозрении несостоятельности покупателя оплаты вовремя, заранее проинформирует о возможных осложнениях. При импортном подвиде происходит зеркальная система, когда определенная организация получает отсрочку платежа за поступления из-за рубежа, а фактор в данной стране дает гарантию поставщику о полном и своевременном платеже. При импортном же факторинге финансирование конторы не выплачивается, а фактор в РФ на регулярной основе общается с коллегой в стране поставщика. </w:t>
      </w:r>
    </w:p>
    <w:p w:rsidR="000960E6" w:rsidRPr="000960E6" w:rsidRDefault="00EC7215" w:rsidP="000960E6">
      <w:pPr>
        <w:spacing w:after="0" w:line="288" w:lineRule="auto"/>
        <w:ind w:left="-567"/>
        <w:jc w:val="both"/>
        <w:rPr>
          <w:rFonts w:ascii="Times New Roman" w:hAnsi="Times New Roman" w:cs="Times New Roman"/>
          <w:sz w:val="28"/>
          <w:szCs w:val="28"/>
        </w:rPr>
      </w:pPr>
      <w:r w:rsidRPr="00283C08">
        <w:rPr>
          <w:rFonts w:ascii="Times New Roman" w:hAnsi="Times New Roman" w:cs="Times New Roman"/>
          <w:sz w:val="28"/>
          <w:szCs w:val="28"/>
        </w:rPr>
        <w:lastRenderedPageBreak/>
        <w:tab/>
      </w:r>
      <w:r w:rsidRPr="00EC7215">
        <w:rPr>
          <w:rFonts w:ascii="Times New Roman" w:hAnsi="Times New Roman" w:cs="Times New Roman"/>
          <w:sz w:val="28"/>
          <w:szCs w:val="28"/>
        </w:rPr>
        <w:t xml:space="preserve">   </w:t>
      </w:r>
      <w:r w:rsidR="000960E6" w:rsidRPr="000960E6">
        <w:rPr>
          <w:rFonts w:ascii="Times New Roman" w:hAnsi="Times New Roman" w:cs="Times New Roman"/>
          <w:sz w:val="28"/>
          <w:szCs w:val="28"/>
        </w:rPr>
        <w:t>5)</w:t>
      </w:r>
      <w:r w:rsidR="000960E6" w:rsidRPr="000960E6">
        <w:rPr>
          <w:rFonts w:ascii="Times New Roman" w:hAnsi="Times New Roman" w:cs="Times New Roman"/>
          <w:sz w:val="28"/>
          <w:szCs w:val="28"/>
        </w:rPr>
        <w:tab/>
        <w:t>Открытый факторинг – это когда приходит уведомление дебитору об уступке. При таком виде должник платит напрямую фактору.</w:t>
      </w:r>
    </w:p>
    <w:p w:rsidR="000960E6" w:rsidRPr="000960E6" w:rsidRDefault="00EC7215" w:rsidP="000960E6">
      <w:pPr>
        <w:spacing w:after="0" w:line="288" w:lineRule="auto"/>
        <w:ind w:left="-567"/>
        <w:jc w:val="both"/>
        <w:rPr>
          <w:rFonts w:ascii="Times New Roman" w:hAnsi="Times New Roman" w:cs="Times New Roman"/>
          <w:sz w:val="28"/>
          <w:szCs w:val="28"/>
        </w:rPr>
      </w:pPr>
      <w:r w:rsidRPr="00283C08">
        <w:rPr>
          <w:rFonts w:ascii="Times New Roman" w:hAnsi="Times New Roman" w:cs="Times New Roman"/>
          <w:sz w:val="28"/>
          <w:szCs w:val="28"/>
        </w:rPr>
        <w:tab/>
      </w:r>
      <w:r w:rsidRPr="00EC7215">
        <w:rPr>
          <w:rFonts w:ascii="Times New Roman" w:hAnsi="Times New Roman" w:cs="Times New Roman"/>
          <w:sz w:val="28"/>
          <w:szCs w:val="28"/>
        </w:rPr>
        <w:t xml:space="preserve">   </w:t>
      </w:r>
      <w:r w:rsidR="000960E6" w:rsidRPr="000960E6">
        <w:rPr>
          <w:rFonts w:ascii="Times New Roman" w:hAnsi="Times New Roman" w:cs="Times New Roman"/>
          <w:sz w:val="28"/>
          <w:szCs w:val="28"/>
        </w:rPr>
        <w:t>6)</w:t>
      </w:r>
      <w:r w:rsidR="000960E6" w:rsidRPr="000960E6">
        <w:rPr>
          <w:rFonts w:ascii="Times New Roman" w:hAnsi="Times New Roman" w:cs="Times New Roman"/>
          <w:sz w:val="28"/>
          <w:szCs w:val="28"/>
        </w:rPr>
        <w:tab/>
        <w:t>Закрытый факторинг – когда уведомление об уступке дебитор не получает. При данном виде должник для начала должен заплатить клиенту, а тот далее перечислит сумму фактору (= работа через посредника).</w:t>
      </w:r>
    </w:p>
    <w:p w:rsidR="000960E6" w:rsidRPr="000960E6" w:rsidRDefault="00EC7215" w:rsidP="000960E6">
      <w:pPr>
        <w:spacing w:after="0" w:line="288" w:lineRule="auto"/>
        <w:ind w:left="-567"/>
        <w:jc w:val="both"/>
        <w:rPr>
          <w:rFonts w:ascii="Times New Roman" w:hAnsi="Times New Roman" w:cs="Times New Roman"/>
          <w:sz w:val="28"/>
          <w:szCs w:val="28"/>
        </w:rPr>
      </w:pPr>
      <w:r w:rsidRPr="00283C08">
        <w:rPr>
          <w:rFonts w:ascii="Times New Roman" w:hAnsi="Times New Roman" w:cs="Times New Roman"/>
          <w:sz w:val="28"/>
          <w:szCs w:val="28"/>
        </w:rPr>
        <w:tab/>
      </w:r>
      <w:r w:rsidRPr="00EC7215">
        <w:rPr>
          <w:rFonts w:ascii="Times New Roman" w:hAnsi="Times New Roman" w:cs="Times New Roman"/>
          <w:sz w:val="28"/>
          <w:szCs w:val="28"/>
        </w:rPr>
        <w:t xml:space="preserve">   </w:t>
      </w:r>
      <w:r w:rsidR="000960E6" w:rsidRPr="000960E6">
        <w:rPr>
          <w:rFonts w:ascii="Times New Roman" w:hAnsi="Times New Roman" w:cs="Times New Roman"/>
          <w:sz w:val="28"/>
          <w:szCs w:val="28"/>
        </w:rPr>
        <w:t>7)</w:t>
      </w:r>
      <w:r w:rsidR="000960E6" w:rsidRPr="000960E6">
        <w:rPr>
          <w:rFonts w:ascii="Times New Roman" w:hAnsi="Times New Roman" w:cs="Times New Roman"/>
          <w:sz w:val="28"/>
          <w:szCs w:val="28"/>
        </w:rPr>
        <w:tab/>
        <w:t>Реальный факторинг - денежное требование существует на момент подписания договора.</w:t>
      </w:r>
    </w:p>
    <w:p w:rsidR="000960E6" w:rsidRPr="000960E6" w:rsidRDefault="00EC7215" w:rsidP="000960E6">
      <w:pPr>
        <w:spacing w:after="0" w:line="288" w:lineRule="auto"/>
        <w:ind w:left="-567"/>
        <w:jc w:val="both"/>
        <w:rPr>
          <w:rFonts w:ascii="Times New Roman" w:hAnsi="Times New Roman" w:cs="Times New Roman"/>
          <w:sz w:val="28"/>
          <w:szCs w:val="28"/>
        </w:rPr>
      </w:pPr>
      <w:r w:rsidRPr="00283C08">
        <w:rPr>
          <w:rFonts w:ascii="Times New Roman" w:hAnsi="Times New Roman" w:cs="Times New Roman"/>
          <w:sz w:val="28"/>
          <w:szCs w:val="28"/>
        </w:rPr>
        <w:tab/>
      </w:r>
      <w:r w:rsidRPr="00EC7215">
        <w:rPr>
          <w:rFonts w:ascii="Times New Roman" w:hAnsi="Times New Roman" w:cs="Times New Roman"/>
          <w:sz w:val="28"/>
          <w:szCs w:val="28"/>
        </w:rPr>
        <w:t xml:space="preserve">   </w:t>
      </w:r>
      <w:r w:rsidR="000960E6" w:rsidRPr="000960E6">
        <w:rPr>
          <w:rFonts w:ascii="Times New Roman" w:hAnsi="Times New Roman" w:cs="Times New Roman"/>
          <w:sz w:val="28"/>
          <w:szCs w:val="28"/>
        </w:rPr>
        <w:t>8)</w:t>
      </w:r>
      <w:r w:rsidR="000960E6" w:rsidRPr="000960E6">
        <w:rPr>
          <w:rFonts w:ascii="Times New Roman" w:hAnsi="Times New Roman" w:cs="Times New Roman"/>
          <w:sz w:val="28"/>
          <w:szCs w:val="28"/>
        </w:rPr>
        <w:tab/>
        <w:t>Консенсуальный факторинг - денежное требование возникнет в будущем.</w:t>
      </w:r>
    </w:p>
    <w:p w:rsidR="000960E6" w:rsidRPr="000960E6" w:rsidRDefault="00EC7215" w:rsidP="000960E6">
      <w:pPr>
        <w:spacing w:after="0" w:line="288" w:lineRule="auto"/>
        <w:ind w:left="-567"/>
        <w:jc w:val="both"/>
        <w:rPr>
          <w:rFonts w:ascii="Times New Roman" w:hAnsi="Times New Roman" w:cs="Times New Roman"/>
          <w:sz w:val="28"/>
          <w:szCs w:val="28"/>
        </w:rPr>
      </w:pPr>
      <w:r w:rsidRPr="00283C08">
        <w:rPr>
          <w:rFonts w:ascii="Times New Roman" w:hAnsi="Times New Roman" w:cs="Times New Roman"/>
          <w:sz w:val="28"/>
          <w:szCs w:val="28"/>
        </w:rPr>
        <w:tab/>
      </w:r>
      <w:r w:rsidRPr="00EC7215">
        <w:rPr>
          <w:rFonts w:ascii="Times New Roman" w:hAnsi="Times New Roman" w:cs="Times New Roman"/>
          <w:sz w:val="28"/>
          <w:szCs w:val="28"/>
        </w:rPr>
        <w:t xml:space="preserve">   </w:t>
      </w:r>
      <w:r w:rsidR="000960E6" w:rsidRPr="000960E6">
        <w:rPr>
          <w:rFonts w:ascii="Times New Roman" w:hAnsi="Times New Roman" w:cs="Times New Roman"/>
          <w:sz w:val="28"/>
          <w:szCs w:val="28"/>
        </w:rPr>
        <w:t>9)</w:t>
      </w:r>
      <w:r w:rsidR="000960E6" w:rsidRPr="000960E6">
        <w:rPr>
          <w:rFonts w:ascii="Times New Roman" w:hAnsi="Times New Roman" w:cs="Times New Roman"/>
          <w:sz w:val="28"/>
          <w:szCs w:val="28"/>
        </w:rPr>
        <w:tab/>
        <w:t>Прямой факторинг – происходит участие одного фактора в сделке.</w:t>
      </w:r>
    </w:p>
    <w:p w:rsidR="000960E6" w:rsidRPr="000960E6" w:rsidRDefault="00EC7215" w:rsidP="000960E6">
      <w:pPr>
        <w:spacing w:after="0" w:line="288" w:lineRule="auto"/>
        <w:ind w:left="-567"/>
        <w:jc w:val="both"/>
        <w:rPr>
          <w:rFonts w:ascii="Times New Roman" w:hAnsi="Times New Roman" w:cs="Times New Roman"/>
          <w:sz w:val="28"/>
          <w:szCs w:val="28"/>
        </w:rPr>
      </w:pPr>
      <w:r w:rsidRPr="00283C08">
        <w:rPr>
          <w:rFonts w:ascii="Times New Roman" w:hAnsi="Times New Roman" w:cs="Times New Roman"/>
          <w:sz w:val="28"/>
          <w:szCs w:val="28"/>
        </w:rPr>
        <w:tab/>
      </w:r>
      <w:r w:rsidRPr="00EC7215">
        <w:rPr>
          <w:rFonts w:ascii="Times New Roman" w:hAnsi="Times New Roman" w:cs="Times New Roman"/>
          <w:sz w:val="28"/>
          <w:szCs w:val="28"/>
        </w:rPr>
        <w:t xml:space="preserve">  </w:t>
      </w:r>
      <w:r w:rsidR="000960E6" w:rsidRPr="000960E6">
        <w:rPr>
          <w:rFonts w:ascii="Times New Roman" w:hAnsi="Times New Roman" w:cs="Times New Roman"/>
          <w:sz w:val="28"/>
          <w:szCs w:val="28"/>
        </w:rPr>
        <w:t>10)Взаимный факторинг – в сделке принимают участие два фактора.</w:t>
      </w:r>
    </w:p>
    <w:p w:rsidR="000960E6" w:rsidRPr="00EF0CEE" w:rsidRDefault="00EC7215" w:rsidP="000960E6">
      <w:pPr>
        <w:spacing w:after="0" w:line="288" w:lineRule="auto"/>
        <w:ind w:left="-567"/>
        <w:jc w:val="both"/>
        <w:rPr>
          <w:rFonts w:ascii="Times New Roman" w:hAnsi="Times New Roman" w:cs="Times New Roman"/>
          <w:sz w:val="28"/>
          <w:szCs w:val="28"/>
        </w:rPr>
      </w:pPr>
      <w:r w:rsidRPr="00EC7215">
        <w:rPr>
          <w:rFonts w:ascii="Times New Roman" w:hAnsi="Times New Roman" w:cs="Times New Roman"/>
          <w:sz w:val="28"/>
          <w:szCs w:val="28"/>
        </w:rPr>
        <w:t xml:space="preserve">         </w:t>
      </w:r>
      <w:r w:rsidR="000960E6" w:rsidRPr="000960E6">
        <w:rPr>
          <w:rFonts w:ascii="Times New Roman" w:hAnsi="Times New Roman" w:cs="Times New Roman"/>
          <w:sz w:val="28"/>
          <w:szCs w:val="28"/>
        </w:rPr>
        <w:t xml:space="preserve"> 11)Электронный факторинг – по-другому его также называют EDI-факторинг, работающий на основе электронного документооборота. Зачастую, данный вид факторинга дает возможность производить автоматически сделки по подтверждению и уступке прав требования на основании пакетов электронных документов по поставкам.</w:t>
      </w:r>
      <w:r w:rsidR="00995A70" w:rsidRPr="00995A70">
        <w:rPr>
          <w:rFonts w:ascii="Times New Roman" w:hAnsi="Times New Roman" w:cs="Times New Roman"/>
          <w:sz w:val="28"/>
          <w:szCs w:val="28"/>
        </w:rPr>
        <w:t xml:space="preserve"> [</w:t>
      </w:r>
      <w:r w:rsidR="00995A70" w:rsidRPr="00EF0CEE">
        <w:rPr>
          <w:rFonts w:ascii="Times New Roman" w:hAnsi="Times New Roman" w:cs="Times New Roman"/>
          <w:sz w:val="28"/>
          <w:szCs w:val="28"/>
        </w:rPr>
        <w:t>3]</w:t>
      </w:r>
    </w:p>
    <w:p w:rsidR="00EF0CEE" w:rsidRDefault="00EC7215" w:rsidP="000960E6">
      <w:pPr>
        <w:spacing w:after="0" w:line="288" w:lineRule="auto"/>
        <w:ind w:left="-567"/>
        <w:jc w:val="both"/>
        <w:rPr>
          <w:rFonts w:ascii="Times New Roman" w:hAnsi="Times New Roman" w:cs="Times New Roman"/>
          <w:sz w:val="28"/>
          <w:szCs w:val="28"/>
        </w:rPr>
      </w:pPr>
      <w:r>
        <w:rPr>
          <w:rFonts w:ascii="Times New Roman" w:hAnsi="Times New Roman" w:cs="Times New Roman"/>
          <w:sz w:val="28"/>
          <w:szCs w:val="28"/>
        </w:rPr>
        <w:tab/>
      </w:r>
      <w:r w:rsidRPr="00EC7215">
        <w:rPr>
          <w:rFonts w:ascii="Times New Roman" w:hAnsi="Times New Roman" w:cs="Times New Roman"/>
          <w:sz w:val="28"/>
          <w:szCs w:val="28"/>
        </w:rPr>
        <w:t xml:space="preserve">   </w:t>
      </w:r>
      <w:r w:rsidR="000960E6" w:rsidRPr="000960E6">
        <w:rPr>
          <w:rFonts w:ascii="Times New Roman" w:hAnsi="Times New Roman" w:cs="Times New Roman"/>
          <w:sz w:val="28"/>
          <w:szCs w:val="28"/>
        </w:rPr>
        <w:t xml:space="preserve">Ассоциация факторинговых компаний сообщает об итогах работы российского рынка факторинга за 9 месяцев 2022 года: </w:t>
      </w:r>
      <w:r w:rsidR="00EF0CEE">
        <w:rPr>
          <w:rFonts w:ascii="Times New Roman" w:hAnsi="Times New Roman" w:cs="Times New Roman"/>
          <w:sz w:val="28"/>
          <w:szCs w:val="28"/>
        </w:rPr>
        <w:t>с</w:t>
      </w:r>
      <w:r w:rsidR="000960E6" w:rsidRPr="000960E6">
        <w:rPr>
          <w:rFonts w:ascii="Times New Roman" w:hAnsi="Times New Roman" w:cs="Times New Roman"/>
          <w:sz w:val="28"/>
          <w:szCs w:val="28"/>
        </w:rPr>
        <w:t>овокупный портфель на 1.10.22г. составил 1,196 трлн.р</w:t>
      </w:r>
      <w:r w:rsidR="00EF0CEE">
        <w:rPr>
          <w:rFonts w:ascii="Times New Roman" w:hAnsi="Times New Roman" w:cs="Times New Roman"/>
          <w:sz w:val="28"/>
          <w:szCs w:val="28"/>
        </w:rPr>
        <w:t xml:space="preserve">уб., из которых: </w:t>
      </w:r>
    </w:p>
    <w:tbl>
      <w:tblPr>
        <w:tblStyle w:val="ac"/>
        <w:tblW w:w="0" w:type="auto"/>
        <w:tblInd w:w="-567" w:type="dxa"/>
        <w:tblLook w:val="04A0"/>
      </w:tblPr>
      <w:tblGrid>
        <w:gridCol w:w="4785"/>
        <w:gridCol w:w="4786"/>
      </w:tblGrid>
      <w:tr w:rsidR="00EF0CEE" w:rsidTr="00EF0CEE">
        <w:tc>
          <w:tcPr>
            <w:tcW w:w="4785" w:type="dxa"/>
          </w:tcPr>
          <w:p w:rsidR="00EF0CEE" w:rsidRDefault="00EF0CEE" w:rsidP="000960E6">
            <w:pPr>
              <w:spacing w:line="288" w:lineRule="auto"/>
              <w:jc w:val="both"/>
              <w:rPr>
                <w:rFonts w:ascii="Times New Roman" w:hAnsi="Times New Roman" w:cs="Times New Roman"/>
                <w:sz w:val="28"/>
                <w:szCs w:val="28"/>
              </w:rPr>
            </w:pPr>
            <w:r w:rsidRPr="000960E6">
              <w:rPr>
                <w:rFonts w:ascii="Times New Roman" w:hAnsi="Times New Roman" w:cs="Times New Roman"/>
                <w:sz w:val="28"/>
                <w:szCs w:val="28"/>
              </w:rPr>
              <w:t>сделки без права регресса</w:t>
            </w:r>
          </w:p>
        </w:tc>
        <w:tc>
          <w:tcPr>
            <w:tcW w:w="4786" w:type="dxa"/>
          </w:tcPr>
          <w:p w:rsidR="00EF0CEE" w:rsidRDefault="00EF0CEE" w:rsidP="000960E6">
            <w:pPr>
              <w:spacing w:line="288" w:lineRule="auto"/>
              <w:jc w:val="both"/>
              <w:rPr>
                <w:rFonts w:ascii="Times New Roman" w:hAnsi="Times New Roman" w:cs="Times New Roman"/>
                <w:sz w:val="28"/>
                <w:szCs w:val="28"/>
              </w:rPr>
            </w:pPr>
            <w:r w:rsidRPr="000960E6">
              <w:rPr>
                <w:rFonts w:ascii="Times New Roman" w:hAnsi="Times New Roman" w:cs="Times New Roman"/>
                <w:sz w:val="28"/>
                <w:szCs w:val="28"/>
              </w:rPr>
              <w:t>85,2%</w:t>
            </w:r>
          </w:p>
        </w:tc>
      </w:tr>
      <w:tr w:rsidR="00EF0CEE" w:rsidTr="00EF0CEE">
        <w:tc>
          <w:tcPr>
            <w:tcW w:w="4785" w:type="dxa"/>
          </w:tcPr>
          <w:p w:rsidR="00EF0CEE" w:rsidRDefault="00EF0CEE" w:rsidP="000960E6">
            <w:pPr>
              <w:spacing w:line="288" w:lineRule="auto"/>
              <w:jc w:val="both"/>
              <w:rPr>
                <w:rFonts w:ascii="Times New Roman" w:hAnsi="Times New Roman" w:cs="Times New Roman"/>
                <w:sz w:val="28"/>
                <w:szCs w:val="28"/>
              </w:rPr>
            </w:pPr>
            <w:r>
              <w:rPr>
                <w:rFonts w:ascii="Times New Roman" w:hAnsi="Times New Roman" w:cs="Times New Roman"/>
                <w:sz w:val="28"/>
                <w:szCs w:val="28"/>
              </w:rPr>
              <w:t>сделки с</w:t>
            </w:r>
            <w:r w:rsidRPr="000960E6">
              <w:rPr>
                <w:rFonts w:ascii="Times New Roman" w:hAnsi="Times New Roman" w:cs="Times New Roman"/>
                <w:sz w:val="28"/>
                <w:szCs w:val="28"/>
              </w:rPr>
              <w:t xml:space="preserve"> правом регресса</w:t>
            </w:r>
          </w:p>
        </w:tc>
        <w:tc>
          <w:tcPr>
            <w:tcW w:w="4786" w:type="dxa"/>
          </w:tcPr>
          <w:p w:rsidR="00EF0CEE" w:rsidRDefault="00EF0CEE" w:rsidP="000960E6">
            <w:pPr>
              <w:spacing w:line="288" w:lineRule="auto"/>
              <w:jc w:val="both"/>
              <w:rPr>
                <w:rFonts w:ascii="Times New Roman" w:hAnsi="Times New Roman" w:cs="Times New Roman"/>
                <w:sz w:val="28"/>
                <w:szCs w:val="28"/>
              </w:rPr>
            </w:pPr>
            <w:r w:rsidRPr="000960E6">
              <w:rPr>
                <w:rFonts w:ascii="Times New Roman" w:hAnsi="Times New Roman" w:cs="Times New Roman"/>
                <w:sz w:val="28"/>
                <w:szCs w:val="28"/>
              </w:rPr>
              <w:t>13,9%</w:t>
            </w:r>
          </w:p>
        </w:tc>
      </w:tr>
      <w:tr w:rsidR="00EF0CEE" w:rsidTr="00EF0CEE">
        <w:tc>
          <w:tcPr>
            <w:tcW w:w="4785" w:type="dxa"/>
          </w:tcPr>
          <w:p w:rsidR="00EF0CEE" w:rsidRDefault="00EF0CEE" w:rsidP="000960E6">
            <w:pPr>
              <w:spacing w:line="288" w:lineRule="auto"/>
              <w:jc w:val="both"/>
              <w:rPr>
                <w:rFonts w:ascii="Times New Roman" w:hAnsi="Times New Roman" w:cs="Times New Roman"/>
                <w:sz w:val="28"/>
                <w:szCs w:val="28"/>
              </w:rPr>
            </w:pPr>
            <w:r w:rsidRPr="000960E6">
              <w:rPr>
                <w:rFonts w:ascii="Times New Roman" w:hAnsi="Times New Roman" w:cs="Times New Roman"/>
                <w:sz w:val="28"/>
                <w:szCs w:val="28"/>
              </w:rPr>
              <w:t>международные сделки</w:t>
            </w:r>
          </w:p>
        </w:tc>
        <w:tc>
          <w:tcPr>
            <w:tcW w:w="4786" w:type="dxa"/>
          </w:tcPr>
          <w:p w:rsidR="00EF0CEE" w:rsidRDefault="00EF0CEE" w:rsidP="000960E6">
            <w:pPr>
              <w:spacing w:line="288" w:lineRule="auto"/>
              <w:jc w:val="both"/>
              <w:rPr>
                <w:rFonts w:ascii="Times New Roman" w:hAnsi="Times New Roman" w:cs="Times New Roman"/>
                <w:sz w:val="28"/>
                <w:szCs w:val="28"/>
              </w:rPr>
            </w:pPr>
            <w:r w:rsidRPr="000960E6">
              <w:rPr>
                <w:rFonts w:ascii="Times New Roman" w:hAnsi="Times New Roman" w:cs="Times New Roman"/>
                <w:sz w:val="28"/>
                <w:szCs w:val="28"/>
              </w:rPr>
              <w:t>0,9%</w:t>
            </w:r>
          </w:p>
        </w:tc>
      </w:tr>
    </w:tbl>
    <w:p w:rsidR="00EF0CEE" w:rsidRPr="00EF0CEE" w:rsidRDefault="00EF0CEE" w:rsidP="00EF0CEE">
      <w:pPr>
        <w:spacing w:after="0" w:line="288" w:lineRule="auto"/>
        <w:ind w:left="-567"/>
        <w:jc w:val="center"/>
        <w:rPr>
          <w:rFonts w:ascii="Times New Roman" w:hAnsi="Times New Roman" w:cs="Times New Roman"/>
          <w:i/>
          <w:color w:val="7F7F7F" w:themeColor="text1" w:themeTint="80"/>
          <w:sz w:val="28"/>
          <w:szCs w:val="28"/>
        </w:rPr>
      </w:pPr>
      <w:r w:rsidRPr="00EF0CEE">
        <w:rPr>
          <w:rFonts w:ascii="Times New Roman" w:hAnsi="Times New Roman" w:cs="Times New Roman"/>
          <w:i/>
          <w:color w:val="7F7F7F" w:themeColor="text1" w:themeTint="80"/>
          <w:sz w:val="28"/>
          <w:szCs w:val="28"/>
        </w:rPr>
        <w:t>Таблица 1</w:t>
      </w:r>
    </w:p>
    <w:p w:rsidR="000960E6" w:rsidRPr="000960E6" w:rsidRDefault="000960E6" w:rsidP="000960E6">
      <w:pPr>
        <w:spacing w:after="0" w:line="288" w:lineRule="auto"/>
        <w:ind w:left="-567"/>
        <w:jc w:val="both"/>
        <w:rPr>
          <w:rFonts w:ascii="Times New Roman" w:hAnsi="Times New Roman" w:cs="Times New Roman"/>
          <w:sz w:val="28"/>
          <w:szCs w:val="28"/>
        </w:rPr>
      </w:pPr>
      <w:r w:rsidRPr="000960E6">
        <w:rPr>
          <w:rFonts w:ascii="Times New Roman" w:hAnsi="Times New Roman" w:cs="Times New Roman"/>
          <w:sz w:val="28"/>
          <w:szCs w:val="28"/>
        </w:rPr>
        <w:t xml:space="preserve">Доля активов по договорам с субъектами МСП в портфеле снизилась до 8%.  Снижение портфеля за последний год 2%, отрицательная годовая динамика портфеля зафиксирована впервые с 3 квартала 2016 года. </w:t>
      </w:r>
    </w:p>
    <w:p w:rsidR="00EF0CEE" w:rsidRDefault="00EC7215" w:rsidP="000960E6">
      <w:pPr>
        <w:spacing w:after="0" w:line="288" w:lineRule="auto"/>
        <w:ind w:left="-567"/>
        <w:jc w:val="both"/>
        <w:rPr>
          <w:rFonts w:ascii="Times New Roman" w:hAnsi="Times New Roman" w:cs="Times New Roman"/>
          <w:sz w:val="28"/>
          <w:szCs w:val="28"/>
        </w:rPr>
      </w:pPr>
      <w:r>
        <w:rPr>
          <w:rFonts w:ascii="Times New Roman" w:hAnsi="Times New Roman" w:cs="Times New Roman"/>
          <w:sz w:val="28"/>
          <w:szCs w:val="28"/>
        </w:rPr>
        <w:tab/>
      </w:r>
      <w:r w:rsidRPr="00EC7215">
        <w:rPr>
          <w:rFonts w:ascii="Times New Roman" w:hAnsi="Times New Roman" w:cs="Times New Roman"/>
          <w:sz w:val="28"/>
          <w:szCs w:val="28"/>
        </w:rPr>
        <w:t xml:space="preserve">    </w:t>
      </w:r>
      <w:r w:rsidR="000960E6" w:rsidRPr="000960E6">
        <w:rPr>
          <w:rFonts w:ascii="Times New Roman" w:hAnsi="Times New Roman" w:cs="Times New Roman"/>
          <w:sz w:val="28"/>
          <w:szCs w:val="28"/>
        </w:rPr>
        <w:t>За 9 мес 2022 года российскому бизнесу выплачено 3,877 трлн.  рублей (в том числе свыше 1,8 тр</w:t>
      </w:r>
      <w:r w:rsidR="00EF0CEE">
        <w:rPr>
          <w:rFonts w:ascii="Times New Roman" w:hAnsi="Times New Roman" w:cs="Times New Roman"/>
          <w:sz w:val="28"/>
          <w:szCs w:val="28"/>
        </w:rPr>
        <w:t>лн рублей – в третьем квартале), из них же</w:t>
      </w:r>
      <w:r w:rsidR="00EF0CEE" w:rsidRPr="00EF0CEE">
        <w:rPr>
          <w:rFonts w:ascii="Times New Roman" w:hAnsi="Times New Roman" w:cs="Times New Roman"/>
          <w:sz w:val="28"/>
          <w:szCs w:val="28"/>
        </w:rPr>
        <w:t xml:space="preserve"> </w:t>
      </w:r>
      <w:r w:rsidR="00EF0CEE">
        <w:rPr>
          <w:rFonts w:ascii="Times New Roman" w:hAnsi="Times New Roman" w:cs="Times New Roman"/>
          <w:sz w:val="28"/>
          <w:szCs w:val="28"/>
        </w:rPr>
        <w:t>финансирование</w:t>
      </w:r>
      <w:r w:rsidR="00EF0CEE" w:rsidRPr="000960E6">
        <w:rPr>
          <w:rFonts w:ascii="Times New Roman" w:hAnsi="Times New Roman" w:cs="Times New Roman"/>
          <w:sz w:val="28"/>
          <w:szCs w:val="28"/>
        </w:rPr>
        <w:t xml:space="preserve"> выплачено</w:t>
      </w:r>
      <w:r w:rsidR="00EF0CEE">
        <w:rPr>
          <w:rFonts w:ascii="Times New Roman" w:hAnsi="Times New Roman" w:cs="Times New Roman"/>
          <w:sz w:val="28"/>
          <w:szCs w:val="28"/>
        </w:rPr>
        <w:t xml:space="preserve"> : </w:t>
      </w:r>
    </w:p>
    <w:tbl>
      <w:tblPr>
        <w:tblStyle w:val="ac"/>
        <w:tblW w:w="0" w:type="auto"/>
        <w:tblInd w:w="-567" w:type="dxa"/>
        <w:tblLook w:val="04A0"/>
      </w:tblPr>
      <w:tblGrid>
        <w:gridCol w:w="4785"/>
        <w:gridCol w:w="4786"/>
      </w:tblGrid>
      <w:tr w:rsidR="00EF0CEE" w:rsidTr="00EF0CEE">
        <w:tc>
          <w:tcPr>
            <w:tcW w:w="4785" w:type="dxa"/>
          </w:tcPr>
          <w:p w:rsidR="00EF0CEE" w:rsidRDefault="00EF0CEE" w:rsidP="000960E6">
            <w:pPr>
              <w:spacing w:line="288" w:lineRule="auto"/>
              <w:jc w:val="both"/>
              <w:rPr>
                <w:rFonts w:ascii="Times New Roman" w:hAnsi="Times New Roman" w:cs="Times New Roman"/>
                <w:sz w:val="28"/>
                <w:szCs w:val="28"/>
              </w:rPr>
            </w:pPr>
            <w:r w:rsidRPr="000960E6">
              <w:rPr>
                <w:rFonts w:ascii="Times New Roman" w:hAnsi="Times New Roman" w:cs="Times New Roman"/>
                <w:sz w:val="28"/>
                <w:szCs w:val="28"/>
              </w:rPr>
              <w:t>по сделкам без права регресса</w:t>
            </w:r>
          </w:p>
        </w:tc>
        <w:tc>
          <w:tcPr>
            <w:tcW w:w="4786" w:type="dxa"/>
          </w:tcPr>
          <w:p w:rsidR="00EF0CEE" w:rsidRDefault="00EF0CEE" w:rsidP="000960E6">
            <w:pPr>
              <w:spacing w:line="288" w:lineRule="auto"/>
              <w:jc w:val="both"/>
              <w:rPr>
                <w:rFonts w:ascii="Times New Roman" w:hAnsi="Times New Roman" w:cs="Times New Roman"/>
                <w:sz w:val="28"/>
                <w:szCs w:val="28"/>
              </w:rPr>
            </w:pPr>
            <w:r w:rsidRPr="000960E6">
              <w:rPr>
                <w:rFonts w:ascii="Times New Roman" w:hAnsi="Times New Roman" w:cs="Times New Roman"/>
                <w:sz w:val="28"/>
                <w:szCs w:val="28"/>
              </w:rPr>
              <w:t>81,4%</w:t>
            </w:r>
          </w:p>
        </w:tc>
      </w:tr>
      <w:tr w:rsidR="00EF0CEE" w:rsidTr="00EF0CEE">
        <w:tc>
          <w:tcPr>
            <w:tcW w:w="4785" w:type="dxa"/>
          </w:tcPr>
          <w:p w:rsidR="00EF0CEE" w:rsidRDefault="00EF0CEE" w:rsidP="000960E6">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по сделкам </w:t>
            </w:r>
            <w:r w:rsidRPr="000960E6">
              <w:rPr>
                <w:rFonts w:ascii="Times New Roman" w:hAnsi="Times New Roman" w:cs="Times New Roman"/>
                <w:sz w:val="28"/>
                <w:szCs w:val="28"/>
              </w:rPr>
              <w:t>с правом регресса</w:t>
            </w:r>
          </w:p>
        </w:tc>
        <w:tc>
          <w:tcPr>
            <w:tcW w:w="4786" w:type="dxa"/>
          </w:tcPr>
          <w:p w:rsidR="00EF0CEE" w:rsidRDefault="00EF0CEE" w:rsidP="000960E6">
            <w:pPr>
              <w:spacing w:line="288" w:lineRule="auto"/>
              <w:jc w:val="both"/>
              <w:rPr>
                <w:rFonts w:ascii="Times New Roman" w:hAnsi="Times New Roman" w:cs="Times New Roman"/>
                <w:sz w:val="28"/>
                <w:szCs w:val="28"/>
              </w:rPr>
            </w:pPr>
            <w:r w:rsidRPr="000960E6">
              <w:rPr>
                <w:rFonts w:ascii="Times New Roman" w:hAnsi="Times New Roman" w:cs="Times New Roman"/>
                <w:sz w:val="28"/>
                <w:szCs w:val="28"/>
              </w:rPr>
              <w:t>18,1%</w:t>
            </w:r>
          </w:p>
        </w:tc>
      </w:tr>
      <w:tr w:rsidR="00EF0CEE" w:rsidTr="00EF0CEE">
        <w:tc>
          <w:tcPr>
            <w:tcW w:w="4785" w:type="dxa"/>
          </w:tcPr>
          <w:p w:rsidR="00EF0CEE" w:rsidRDefault="00EF0CEE" w:rsidP="000960E6">
            <w:pPr>
              <w:spacing w:line="288" w:lineRule="auto"/>
              <w:jc w:val="both"/>
              <w:rPr>
                <w:rFonts w:ascii="Times New Roman" w:hAnsi="Times New Roman" w:cs="Times New Roman"/>
                <w:sz w:val="28"/>
                <w:szCs w:val="28"/>
              </w:rPr>
            </w:pPr>
            <w:r w:rsidRPr="000960E6">
              <w:rPr>
                <w:rFonts w:ascii="Times New Roman" w:hAnsi="Times New Roman" w:cs="Times New Roman"/>
                <w:sz w:val="28"/>
                <w:szCs w:val="28"/>
              </w:rPr>
              <w:t>по международным сделкам</w:t>
            </w:r>
          </w:p>
        </w:tc>
        <w:tc>
          <w:tcPr>
            <w:tcW w:w="4786" w:type="dxa"/>
          </w:tcPr>
          <w:p w:rsidR="00EF0CEE" w:rsidRDefault="00EF0CEE" w:rsidP="000960E6">
            <w:pPr>
              <w:spacing w:line="288" w:lineRule="auto"/>
              <w:jc w:val="both"/>
              <w:rPr>
                <w:rFonts w:ascii="Times New Roman" w:hAnsi="Times New Roman" w:cs="Times New Roman"/>
                <w:sz w:val="28"/>
                <w:szCs w:val="28"/>
              </w:rPr>
            </w:pPr>
            <w:r w:rsidRPr="000960E6">
              <w:rPr>
                <w:rFonts w:ascii="Times New Roman" w:hAnsi="Times New Roman" w:cs="Times New Roman"/>
                <w:sz w:val="28"/>
                <w:szCs w:val="28"/>
              </w:rPr>
              <w:t>0,6%</w:t>
            </w:r>
          </w:p>
        </w:tc>
      </w:tr>
    </w:tbl>
    <w:p w:rsidR="00EF0CEE" w:rsidRPr="00EF0CEE" w:rsidRDefault="00EF0CEE" w:rsidP="00EF0CEE">
      <w:pPr>
        <w:spacing w:after="0" w:line="288" w:lineRule="auto"/>
        <w:ind w:left="-567"/>
        <w:jc w:val="center"/>
        <w:rPr>
          <w:rFonts w:ascii="Times New Roman" w:hAnsi="Times New Roman" w:cs="Times New Roman"/>
          <w:i/>
          <w:color w:val="7F7F7F" w:themeColor="text1" w:themeTint="80"/>
          <w:sz w:val="28"/>
          <w:szCs w:val="28"/>
        </w:rPr>
      </w:pPr>
      <w:r w:rsidRPr="00EF0CEE">
        <w:rPr>
          <w:rFonts w:ascii="Times New Roman" w:hAnsi="Times New Roman" w:cs="Times New Roman"/>
          <w:i/>
          <w:color w:val="7F7F7F" w:themeColor="text1" w:themeTint="80"/>
          <w:sz w:val="28"/>
          <w:szCs w:val="28"/>
        </w:rPr>
        <w:t>Таблица</w:t>
      </w:r>
      <w:r w:rsidR="00B5704C">
        <w:rPr>
          <w:rFonts w:ascii="Times New Roman" w:hAnsi="Times New Roman" w:cs="Times New Roman"/>
          <w:i/>
          <w:color w:val="7F7F7F" w:themeColor="text1" w:themeTint="80"/>
          <w:sz w:val="28"/>
          <w:szCs w:val="28"/>
        </w:rPr>
        <w:t xml:space="preserve"> 2</w:t>
      </w:r>
    </w:p>
    <w:p w:rsidR="00EF0CEE" w:rsidRDefault="00EF0CEE" w:rsidP="000960E6">
      <w:pPr>
        <w:spacing w:after="0" w:line="288" w:lineRule="auto"/>
        <w:ind w:left="-567"/>
        <w:jc w:val="both"/>
        <w:rPr>
          <w:rFonts w:ascii="Times New Roman" w:hAnsi="Times New Roman" w:cs="Times New Roman"/>
          <w:sz w:val="28"/>
          <w:szCs w:val="28"/>
        </w:rPr>
      </w:pPr>
    </w:p>
    <w:p w:rsidR="000960E6" w:rsidRPr="000960E6" w:rsidRDefault="000960E6" w:rsidP="000960E6">
      <w:pPr>
        <w:spacing w:after="0" w:line="288" w:lineRule="auto"/>
        <w:ind w:left="-567"/>
        <w:jc w:val="both"/>
        <w:rPr>
          <w:rFonts w:ascii="Times New Roman" w:hAnsi="Times New Roman" w:cs="Times New Roman"/>
          <w:sz w:val="28"/>
          <w:szCs w:val="28"/>
        </w:rPr>
      </w:pPr>
      <w:r w:rsidRPr="000960E6">
        <w:rPr>
          <w:rFonts w:ascii="Times New Roman" w:hAnsi="Times New Roman" w:cs="Times New Roman"/>
          <w:sz w:val="28"/>
          <w:szCs w:val="28"/>
        </w:rPr>
        <w:t xml:space="preserve">Рост выплаченного финансирования составил 4% по сравнению с аналогичным периодом прошлого года. Субъектам МСП за 9 месяцев 2022 года выплачено </w:t>
      </w:r>
      <w:r w:rsidRPr="000960E6">
        <w:rPr>
          <w:rFonts w:ascii="Times New Roman" w:hAnsi="Times New Roman" w:cs="Times New Roman"/>
          <w:sz w:val="28"/>
          <w:szCs w:val="28"/>
        </w:rPr>
        <w:lastRenderedPageBreak/>
        <w:t>338,2 млрд рублей (в том числе 138 млрд рублей в третьем квартале), доля сегмента МСП в общем объеме финансирования снизилась до 9%.</w:t>
      </w:r>
    </w:p>
    <w:p w:rsidR="000960E6" w:rsidRPr="00B5704C" w:rsidRDefault="00EC7215" w:rsidP="000960E6">
      <w:pPr>
        <w:spacing w:after="0" w:line="288" w:lineRule="auto"/>
        <w:ind w:left="-567"/>
        <w:jc w:val="both"/>
        <w:rPr>
          <w:rFonts w:ascii="Times New Roman" w:hAnsi="Times New Roman" w:cs="Times New Roman"/>
          <w:sz w:val="28"/>
          <w:szCs w:val="28"/>
        </w:rPr>
      </w:pPr>
      <w:r w:rsidRPr="00283C08">
        <w:rPr>
          <w:rFonts w:ascii="Times New Roman" w:hAnsi="Times New Roman" w:cs="Times New Roman"/>
          <w:sz w:val="28"/>
          <w:szCs w:val="28"/>
        </w:rPr>
        <w:tab/>
      </w:r>
      <w:r w:rsidRPr="00EC7215">
        <w:rPr>
          <w:rFonts w:ascii="Times New Roman" w:hAnsi="Times New Roman" w:cs="Times New Roman"/>
          <w:sz w:val="28"/>
          <w:szCs w:val="28"/>
        </w:rPr>
        <w:t xml:space="preserve">    </w:t>
      </w:r>
      <w:r w:rsidR="000960E6" w:rsidRPr="000960E6">
        <w:rPr>
          <w:rFonts w:ascii="Times New Roman" w:hAnsi="Times New Roman" w:cs="Times New Roman"/>
          <w:sz w:val="28"/>
          <w:szCs w:val="28"/>
        </w:rPr>
        <w:t>Факторинговыми услугами за 9 месяцев 2022 года воспользовались 10 840 компаний, при этом, рост клиентской базы составил 8% по сравнению с аналогичным периодом прошлого года. Число клиентов-МСП за тот же период выросло на 14% до 6,2 тыс. компаний и составило 58% клиентской базы измеряемого рынка.</w:t>
      </w:r>
      <w:r w:rsidR="00B5704C">
        <w:rPr>
          <w:rFonts w:ascii="Times New Roman" w:hAnsi="Times New Roman" w:cs="Times New Roman"/>
          <w:sz w:val="28"/>
          <w:szCs w:val="28"/>
        </w:rPr>
        <w:t xml:space="preserve"> </w:t>
      </w:r>
      <w:r w:rsidR="00B5704C" w:rsidRPr="00080E87">
        <w:rPr>
          <w:rFonts w:ascii="Times New Roman" w:hAnsi="Times New Roman" w:cs="Times New Roman"/>
          <w:sz w:val="28"/>
          <w:szCs w:val="28"/>
        </w:rPr>
        <w:t>[4]</w:t>
      </w:r>
    </w:p>
    <w:p w:rsidR="00B5704C" w:rsidRDefault="00EC7215" w:rsidP="000960E6">
      <w:pPr>
        <w:spacing w:after="0" w:line="288" w:lineRule="auto"/>
        <w:ind w:left="-567"/>
        <w:jc w:val="both"/>
        <w:rPr>
          <w:rFonts w:ascii="Times New Roman" w:hAnsi="Times New Roman" w:cs="Times New Roman"/>
          <w:sz w:val="28"/>
          <w:szCs w:val="28"/>
        </w:rPr>
      </w:pPr>
      <w:r>
        <w:rPr>
          <w:rFonts w:ascii="Times New Roman" w:hAnsi="Times New Roman" w:cs="Times New Roman"/>
          <w:sz w:val="28"/>
          <w:szCs w:val="28"/>
        </w:rPr>
        <w:tab/>
      </w:r>
      <w:r w:rsidRPr="00EC7215">
        <w:rPr>
          <w:rFonts w:ascii="Times New Roman" w:hAnsi="Times New Roman" w:cs="Times New Roman"/>
          <w:sz w:val="28"/>
          <w:szCs w:val="28"/>
        </w:rPr>
        <w:t xml:space="preserve">    </w:t>
      </w:r>
      <w:r w:rsidR="000960E6" w:rsidRPr="000960E6">
        <w:rPr>
          <w:rFonts w:ascii="Times New Roman" w:hAnsi="Times New Roman" w:cs="Times New Roman"/>
          <w:sz w:val="28"/>
          <w:szCs w:val="28"/>
        </w:rPr>
        <w:t xml:space="preserve">Интерес участников рынка растет, и это подтверждается опросами со следующей  статистикой. </w:t>
      </w:r>
    </w:p>
    <w:tbl>
      <w:tblPr>
        <w:tblStyle w:val="ac"/>
        <w:tblW w:w="0" w:type="auto"/>
        <w:tblInd w:w="-567" w:type="dxa"/>
        <w:tblLook w:val="04A0"/>
      </w:tblPr>
      <w:tblGrid>
        <w:gridCol w:w="4785"/>
        <w:gridCol w:w="4786"/>
      </w:tblGrid>
      <w:tr w:rsidR="00B5704C" w:rsidTr="00B97C2D">
        <w:tc>
          <w:tcPr>
            <w:tcW w:w="9571" w:type="dxa"/>
            <w:gridSpan w:val="2"/>
          </w:tcPr>
          <w:p w:rsidR="00B5704C" w:rsidRDefault="00B5704C" w:rsidP="00B5704C">
            <w:pPr>
              <w:spacing w:line="288" w:lineRule="auto"/>
              <w:jc w:val="center"/>
              <w:rPr>
                <w:rFonts w:ascii="Times New Roman" w:hAnsi="Times New Roman" w:cs="Times New Roman"/>
                <w:sz w:val="28"/>
                <w:szCs w:val="28"/>
              </w:rPr>
            </w:pPr>
            <w:r>
              <w:rPr>
                <w:rFonts w:ascii="Times New Roman" w:hAnsi="Times New Roman" w:cs="Times New Roman"/>
                <w:sz w:val="28"/>
                <w:szCs w:val="28"/>
              </w:rPr>
              <w:t>4 квартал</w:t>
            </w:r>
            <w:r w:rsidRPr="000960E6">
              <w:rPr>
                <w:rFonts w:ascii="Times New Roman" w:hAnsi="Times New Roman" w:cs="Times New Roman"/>
                <w:sz w:val="28"/>
                <w:szCs w:val="28"/>
              </w:rPr>
              <w:t xml:space="preserve"> 2022 года</w:t>
            </w:r>
            <w:r>
              <w:rPr>
                <w:rFonts w:ascii="Times New Roman" w:hAnsi="Times New Roman" w:cs="Times New Roman"/>
                <w:sz w:val="28"/>
                <w:szCs w:val="28"/>
              </w:rPr>
              <w:t>:</w:t>
            </w:r>
          </w:p>
        </w:tc>
      </w:tr>
      <w:tr w:rsidR="00B5704C" w:rsidTr="00B5704C">
        <w:tc>
          <w:tcPr>
            <w:tcW w:w="4785" w:type="dxa"/>
          </w:tcPr>
          <w:p w:rsidR="00B5704C" w:rsidRDefault="00B5704C" w:rsidP="000960E6">
            <w:pPr>
              <w:spacing w:line="288" w:lineRule="auto"/>
              <w:jc w:val="both"/>
              <w:rPr>
                <w:rFonts w:ascii="Times New Roman" w:hAnsi="Times New Roman" w:cs="Times New Roman"/>
                <w:sz w:val="28"/>
                <w:szCs w:val="28"/>
              </w:rPr>
            </w:pPr>
            <w:r>
              <w:rPr>
                <w:rFonts w:ascii="Times New Roman" w:hAnsi="Times New Roman" w:cs="Times New Roman"/>
                <w:sz w:val="28"/>
                <w:szCs w:val="28"/>
              </w:rPr>
              <w:t>респонденты,</w:t>
            </w:r>
            <w:r w:rsidRPr="000960E6">
              <w:rPr>
                <w:rFonts w:ascii="Times New Roman" w:hAnsi="Times New Roman" w:cs="Times New Roman"/>
                <w:sz w:val="28"/>
                <w:szCs w:val="28"/>
              </w:rPr>
              <w:t xml:space="preserve"> н</w:t>
            </w:r>
            <w:r>
              <w:rPr>
                <w:rFonts w:ascii="Times New Roman" w:hAnsi="Times New Roman" w:cs="Times New Roman"/>
                <w:sz w:val="28"/>
                <w:szCs w:val="28"/>
              </w:rPr>
              <w:t>е ожидающие</w:t>
            </w:r>
            <w:r w:rsidRPr="000960E6">
              <w:rPr>
                <w:rFonts w:ascii="Times New Roman" w:hAnsi="Times New Roman" w:cs="Times New Roman"/>
                <w:sz w:val="28"/>
                <w:szCs w:val="28"/>
              </w:rPr>
              <w:t xml:space="preserve"> изменения платежной дисциплины</w:t>
            </w:r>
          </w:p>
        </w:tc>
        <w:tc>
          <w:tcPr>
            <w:tcW w:w="4786" w:type="dxa"/>
          </w:tcPr>
          <w:p w:rsidR="00B5704C" w:rsidRDefault="00B5704C" w:rsidP="000960E6">
            <w:pPr>
              <w:spacing w:line="288" w:lineRule="auto"/>
              <w:jc w:val="both"/>
              <w:rPr>
                <w:rFonts w:ascii="Times New Roman" w:hAnsi="Times New Roman" w:cs="Times New Roman"/>
                <w:sz w:val="28"/>
                <w:szCs w:val="28"/>
              </w:rPr>
            </w:pPr>
            <w:r w:rsidRPr="000960E6">
              <w:rPr>
                <w:rFonts w:ascii="Times New Roman" w:hAnsi="Times New Roman" w:cs="Times New Roman"/>
                <w:sz w:val="28"/>
                <w:szCs w:val="28"/>
              </w:rPr>
              <w:t>94%</w:t>
            </w:r>
          </w:p>
        </w:tc>
      </w:tr>
      <w:tr w:rsidR="00B5704C" w:rsidTr="00B5704C">
        <w:tc>
          <w:tcPr>
            <w:tcW w:w="4785" w:type="dxa"/>
          </w:tcPr>
          <w:p w:rsidR="00B5704C" w:rsidRDefault="00B5704C" w:rsidP="00B5704C">
            <w:pPr>
              <w:spacing w:line="288" w:lineRule="auto"/>
              <w:jc w:val="both"/>
              <w:rPr>
                <w:rFonts w:ascii="Times New Roman" w:hAnsi="Times New Roman" w:cs="Times New Roman"/>
                <w:sz w:val="28"/>
                <w:szCs w:val="28"/>
              </w:rPr>
            </w:pPr>
            <w:r>
              <w:rPr>
                <w:rFonts w:ascii="Times New Roman" w:hAnsi="Times New Roman" w:cs="Times New Roman"/>
                <w:sz w:val="28"/>
                <w:szCs w:val="28"/>
              </w:rPr>
              <w:t>респонденты,</w:t>
            </w:r>
            <w:r w:rsidRPr="000960E6">
              <w:rPr>
                <w:rFonts w:ascii="Times New Roman" w:hAnsi="Times New Roman" w:cs="Times New Roman"/>
                <w:sz w:val="28"/>
                <w:szCs w:val="28"/>
              </w:rPr>
              <w:t xml:space="preserve"> </w:t>
            </w:r>
            <w:r>
              <w:rPr>
                <w:rFonts w:ascii="Times New Roman" w:hAnsi="Times New Roman" w:cs="Times New Roman"/>
                <w:sz w:val="28"/>
                <w:szCs w:val="28"/>
              </w:rPr>
              <w:t>ожидающие</w:t>
            </w:r>
            <w:r w:rsidRPr="000960E6">
              <w:rPr>
                <w:rFonts w:ascii="Times New Roman" w:hAnsi="Times New Roman" w:cs="Times New Roman"/>
                <w:sz w:val="28"/>
                <w:szCs w:val="28"/>
              </w:rPr>
              <w:t xml:space="preserve"> снижени</w:t>
            </w:r>
            <w:r>
              <w:rPr>
                <w:rFonts w:ascii="Times New Roman" w:hAnsi="Times New Roman" w:cs="Times New Roman"/>
                <w:sz w:val="28"/>
                <w:szCs w:val="28"/>
              </w:rPr>
              <w:t>е</w:t>
            </w:r>
            <w:r w:rsidRPr="000960E6">
              <w:rPr>
                <w:rFonts w:ascii="Times New Roman" w:hAnsi="Times New Roman" w:cs="Times New Roman"/>
                <w:sz w:val="28"/>
                <w:szCs w:val="28"/>
              </w:rPr>
              <w:t xml:space="preserve"> платежной дисциплины</w:t>
            </w:r>
            <w:r>
              <w:rPr>
                <w:rFonts w:ascii="Times New Roman" w:hAnsi="Times New Roman" w:cs="Times New Roman"/>
                <w:sz w:val="28"/>
                <w:szCs w:val="28"/>
              </w:rPr>
              <w:t xml:space="preserve"> </w:t>
            </w:r>
          </w:p>
        </w:tc>
        <w:tc>
          <w:tcPr>
            <w:tcW w:w="4786" w:type="dxa"/>
          </w:tcPr>
          <w:p w:rsidR="00B5704C" w:rsidRDefault="00B5704C" w:rsidP="000960E6">
            <w:pPr>
              <w:spacing w:line="288" w:lineRule="auto"/>
              <w:jc w:val="both"/>
              <w:rPr>
                <w:rFonts w:ascii="Times New Roman" w:hAnsi="Times New Roman" w:cs="Times New Roman"/>
                <w:sz w:val="28"/>
                <w:szCs w:val="28"/>
              </w:rPr>
            </w:pPr>
            <w:r w:rsidRPr="000960E6">
              <w:rPr>
                <w:rFonts w:ascii="Times New Roman" w:hAnsi="Times New Roman" w:cs="Times New Roman"/>
                <w:sz w:val="28"/>
                <w:szCs w:val="28"/>
              </w:rPr>
              <w:t>6%</w:t>
            </w:r>
          </w:p>
        </w:tc>
      </w:tr>
      <w:tr w:rsidR="00B5704C" w:rsidTr="00B5704C">
        <w:tc>
          <w:tcPr>
            <w:tcW w:w="4785" w:type="dxa"/>
          </w:tcPr>
          <w:p w:rsidR="00B5704C" w:rsidRDefault="00B5704C" w:rsidP="000960E6">
            <w:pPr>
              <w:spacing w:line="288" w:lineRule="auto"/>
              <w:jc w:val="both"/>
              <w:rPr>
                <w:rFonts w:ascii="Times New Roman" w:hAnsi="Times New Roman" w:cs="Times New Roman"/>
                <w:sz w:val="28"/>
                <w:szCs w:val="28"/>
              </w:rPr>
            </w:pPr>
            <w:r>
              <w:rPr>
                <w:rFonts w:ascii="Times New Roman" w:hAnsi="Times New Roman" w:cs="Times New Roman"/>
                <w:sz w:val="28"/>
                <w:szCs w:val="28"/>
              </w:rPr>
              <w:t>с</w:t>
            </w:r>
            <w:r w:rsidRPr="000960E6">
              <w:rPr>
                <w:rFonts w:ascii="Times New Roman" w:hAnsi="Times New Roman" w:cs="Times New Roman"/>
                <w:sz w:val="28"/>
                <w:szCs w:val="28"/>
              </w:rPr>
              <w:t>прос на факторинг не изменится</w:t>
            </w:r>
            <w:r>
              <w:rPr>
                <w:rFonts w:ascii="Times New Roman" w:hAnsi="Times New Roman" w:cs="Times New Roman"/>
                <w:sz w:val="28"/>
                <w:szCs w:val="28"/>
              </w:rPr>
              <w:t>,</w:t>
            </w:r>
            <w:r w:rsidRPr="000960E6">
              <w:rPr>
                <w:rFonts w:ascii="Times New Roman" w:hAnsi="Times New Roman" w:cs="Times New Roman"/>
                <w:sz w:val="28"/>
                <w:szCs w:val="28"/>
              </w:rPr>
              <w:t xml:space="preserve"> согласно ожиданиям</w:t>
            </w:r>
            <w:r>
              <w:rPr>
                <w:rFonts w:ascii="Times New Roman" w:hAnsi="Times New Roman" w:cs="Times New Roman"/>
                <w:sz w:val="28"/>
                <w:szCs w:val="28"/>
              </w:rPr>
              <w:t xml:space="preserve"> респондентов</w:t>
            </w:r>
          </w:p>
        </w:tc>
        <w:tc>
          <w:tcPr>
            <w:tcW w:w="4786" w:type="dxa"/>
          </w:tcPr>
          <w:p w:rsidR="00B5704C" w:rsidRDefault="00B5704C" w:rsidP="000960E6">
            <w:pPr>
              <w:spacing w:line="288" w:lineRule="auto"/>
              <w:jc w:val="both"/>
              <w:rPr>
                <w:rFonts w:ascii="Times New Roman" w:hAnsi="Times New Roman" w:cs="Times New Roman"/>
                <w:sz w:val="28"/>
                <w:szCs w:val="28"/>
              </w:rPr>
            </w:pPr>
            <w:r w:rsidRPr="000960E6">
              <w:rPr>
                <w:rFonts w:ascii="Times New Roman" w:hAnsi="Times New Roman" w:cs="Times New Roman"/>
                <w:sz w:val="28"/>
                <w:szCs w:val="28"/>
              </w:rPr>
              <w:t>38%</w:t>
            </w:r>
          </w:p>
        </w:tc>
      </w:tr>
      <w:tr w:rsidR="00B5704C" w:rsidTr="00B5704C">
        <w:tc>
          <w:tcPr>
            <w:tcW w:w="4785" w:type="dxa"/>
          </w:tcPr>
          <w:p w:rsidR="00B5704C" w:rsidRDefault="00B5704C" w:rsidP="00B5704C">
            <w:pPr>
              <w:spacing w:line="288" w:lineRule="auto"/>
              <w:jc w:val="both"/>
              <w:rPr>
                <w:rFonts w:ascii="Times New Roman" w:hAnsi="Times New Roman" w:cs="Times New Roman"/>
                <w:sz w:val="28"/>
                <w:szCs w:val="28"/>
              </w:rPr>
            </w:pPr>
            <w:r>
              <w:rPr>
                <w:rFonts w:ascii="Times New Roman" w:hAnsi="Times New Roman" w:cs="Times New Roman"/>
                <w:sz w:val="28"/>
                <w:szCs w:val="28"/>
              </w:rPr>
              <w:t>респонденты, ожидающие</w:t>
            </w:r>
            <w:r w:rsidRPr="000960E6">
              <w:rPr>
                <w:rFonts w:ascii="Times New Roman" w:hAnsi="Times New Roman" w:cs="Times New Roman"/>
                <w:sz w:val="28"/>
                <w:szCs w:val="28"/>
              </w:rPr>
              <w:t xml:space="preserve"> рост спроса на 25 </w:t>
            </w:r>
            <w:r>
              <w:rPr>
                <w:rFonts w:ascii="Times New Roman" w:hAnsi="Times New Roman" w:cs="Times New Roman"/>
                <w:sz w:val="28"/>
                <w:szCs w:val="28"/>
              </w:rPr>
              <w:t>%</w:t>
            </w:r>
          </w:p>
        </w:tc>
        <w:tc>
          <w:tcPr>
            <w:tcW w:w="4786" w:type="dxa"/>
          </w:tcPr>
          <w:p w:rsidR="00B5704C" w:rsidRDefault="00B5704C" w:rsidP="000960E6">
            <w:pPr>
              <w:spacing w:line="288" w:lineRule="auto"/>
              <w:jc w:val="both"/>
              <w:rPr>
                <w:rFonts w:ascii="Times New Roman" w:hAnsi="Times New Roman" w:cs="Times New Roman"/>
                <w:sz w:val="28"/>
                <w:szCs w:val="28"/>
              </w:rPr>
            </w:pPr>
            <w:r w:rsidRPr="000960E6">
              <w:rPr>
                <w:rFonts w:ascii="Times New Roman" w:hAnsi="Times New Roman" w:cs="Times New Roman"/>
                <w:sz w:val="28"/>
                <w:szCs w:val="28"/>
              </w:rPr>
              <w:t>31%</w:t>
            </w:r>
          </w:p>
        </w:tc>
      </w:tr>
      <w:tr w:rsidR="00B5704C" w:rsidTr="00B5704C">
        <w:tc>
          <w:tcPr>
            <w:tcW w:w="4785" w:type="dxa"/>
          </w:tcPr>
          <w:p w:rsidR="00B5704C" w:rsidRDefault="00B5704C" w:rsidP="000960E6">
            <w:pPr>
              <w:spacing w:line="288" w:lineRule="auto"/>
              <w:jc w:val="both"/>
              <w:rPr>
                <w:rFonts w:ascii="Times New Roman" w:hAnsi="Times New Roman" w:cs="Times New Roman"/>
                <w:sz w:val="28"/>
                <w:szCs w:val="28"/>
              </w:rPr>
            </w:pPr>
            <w:r>
              <w:rPr>
                <w:rFonts w:ascii="Times New Roman" w:hAnsi="Times New Roman" w:cs="Times New Roman"/>
                <w:sz w:val="28"/>
                <w:szCs w:val="28"/>
              </w:rPr>
              <w:t>респонденты, ожидающие</w:t>
            </w:r>
            <w:r w:rsidRPr="000960E6">
              <w:rPr>
                <w:rFonts w:ascii="Times New Roman" w:hAnsi="Times New Roman" w:cs="Times New Roman"/>
                <w:sz w:val="28"/>
                <w:szCs w:val="28"/>
              </w:rPr>
              <w:t xml:space="preserve"> рост спроса на</w:t>
            </w:r>
            <w:r>
              <w:rPr>
                <w:rFonts w:ascii="Times New Roman" w:hAnsi="Times New Roman" w:cs="Times New Roman"/>
                <w:sz w:val="28"/>
                <w:szCs w:val="28"/>
              </w:rPr>
              <w:t xml:space="preserve"> 10% и менее</w:t>
            </w:r>
          </w:p>
        </w:tc>
        <w:tc>
          <w:tcPr>
            <w:tcW w:w="4786" w:type="dxa"/>
          </w:tcPr>
          <w:p w:rsidR="00B5704C" w:rsidRDefault="00B5704C" w:rsidP="000960E6">
            <w:pPr>
              <w:spacing w:line="288" w:lineRule="auto"/>
              <w:jc w:val="both"/>
              <w:rPr>
                <w:rFonts w:ascii="Times New Roman" w:hAnsi="Times New Roman" w:cs="Times New Roman"/>
                <w:sz w:val="28"/>
                <w:szCs w:val="28"/>
              </w:rPr>
            </w:pPr>
            <w:r w:rsidRPr="000960E6">
              <w:rPr>
                <w:rFonts w:ascii="Times New Roman" w:hAnsi="Times New Roman" w:cs="Times New Roman"/>
                <w:sz w:val="28"/>
                <w:szCs w:val="28"/>
              </w:rPr>
              <w:t>25%</w:t>
            </w:r>
          </w:p>
        </w:tc>
      </w:tr>
      <w:tr w:rsidR="00B5704C" w:rsidTr="00B5704C">
        <w:tc>
          <w:tcPr>
            <w:tcW w:w="4785" w:type="dxa"/>
          </w:tcPr>
          <w:p w:rsidR="00B5704C" w:rsidRDefault="00B5704C" w:rsidP="00B5704C">
            <w:pPr>
              <w:spacing w:line="288" w:lineRule="auto"/>
              <w:jc w:val="both"/>
              <w:rPr>
                <w:rFonts w:ascii="Times New Roman" w:hAnsi="Times New Roman" w:cs="Times New Roman"/>
                <w:sz w:val="28"/>
                <w:szCs w:val="28"/>
              </w:rPr>
            </w:pPr>
            <w:r>
              <w:rPr>
                <w:rFonts w:ascii="Times New Roman" w:hAnsi="Times New Roman" w:cs="Times New Roman"/>
                <w:sz w:val="28"/>
                <w:szCs w:val="28"/>
              </w:rPr>
              <w:t>респонденты, ожидающие</w:t>
            </w:r>
            <w:r w:rsidRPr="000960E6">
              <w:rPr>
                <w:rFonts w:ascii="Times New Roman" w:hAnsi="Times New Roman" w:cs="Times New Roman"/>
                <w:sz w:val="28"/>
                <w:szCs w:val="28"/>
              </w:rPr>
              <w:t xml:space="preserve"> падение спроса на 10 </w:t>
            </w:r>
            <w:r>
              <w:rPr>
                <w:rFonts w:ascii="Times New Roman" w:hAnsi="Times New Roman" w:cs="Times New Roman"/>
                <w:sz w:val="28"/>
                <w:szCs w:val="28"/>
              </w:rPr>
              <w:t>%</w:t>
            </w:r>
            <w:r w:rsidRPr="000960E6">
              <w:rPr>
                <w:rFonts w:ascii="Times New Roman" w:hAnsi="Times New Roman" w:cs="Times New Roman"/>
                <w:sz w:val="28"/>
                <w:szCs w:val="28"/>
              </w:rPr>
              <w:t xml:space="preserve"> и менее</w:t>
            </w:r>
          </w:p>
        </w:tc>
        <w:tc>
          <w:tcPr>
            <w:tcW w:w="4786" w:type="dxa"/>
          </w:tcPr>
          <w:p w:rsidR="00B5704C" w:rsidRDefault="00B5704C" w:rsidP="000960E6">
            <w:pPr>
              <w:spacing w:line="288" w:lineRule="auto"/>
              <w:jc w:val="both"/>
              <w:rPr>
                <w:rFonts w:ascii="Times New Roman" w:hAnsi="Times New Roman" w:cs="Times New Roman"/>
                <w:sz w:val="28"/>
                <w:szCs w:val="28"/>
              </w:rPr>
            </w:pPr>
            <w:r w:rsidRPr="000960E6">
              <w:rPr>
                <w:rFonts w:ascii="Times New Roman" w:hAnsi="Times New Roman" w:cs="Times New Roman"/>
                <w:sz w:val="28"/>
                <w:szCs w:val="28"/>
              </w:rPr>
              <w:t>6%</w:t>
            </w:r>
          </w:p>
        </w:tc>
      </w:tr>
    </w:tbl>
    <w:p w:rsidR="00B5704C" w:rsidRPr="00B5704C" w:rsidRDefault="00B5704C" w:rsidP="00B5704C">
      <w:pPr>
        <w:spacing w:after="0" w:line="288" w:lineRule="auto"/>
        <w:ind w:left="-567"/>
        <w:jc w:val="center"/>
        <w:rPr>
          <w:rFonts w:ascii="Times New Roman" w:hAnsi="Times New Roman" w:cs="Times New Roman"/>
          <w:i/>
          <w:color w:val="7F7F7F" w:themeColor="text1" w:themeTint="80"/>
          <w:sz w:val="28"/>
          <w:szCs w:val="28"/>
        </w:rPr>
      </w:pPr>
      <w:r w:rsidRPr="00EF0CEE">
        <w:rPr>
          <w:rFonts w:ascii="Times New Roman" w:hAnsi="Times New Roman" w:cs="Times New Roman"/>
          <w:i/>
          <w:color w:val="7F7F7F" w:themeColor="text1" w:themeTint="80"/>
          <w:sz w:val="28"/>
          <w:szCs w:val="28"/>
        </w:rPr>
        <w:t>Таблица</w:t>
      </w:r>
      <w:r>
        <w:rPr>
          <w:rFonts w:ascii="Times New Roman" w:hAnsi="Times New Roman" w:cs="Times New Roman"/>
          <w:i/>
          <w:color w:val="7F7F7F" w:themeColor="text1" w:themeTint="80"/>
          <w:sz w:val="28"/>
          <w:szCs w:val="28"/>
        </w:rPr>
        <w:t xml:space="preserve"> 3</w:t>
      </w:r>
    </w:p>
    <w:p w:rsidR="000960E6" w:rsidRPr="000960E6" w:rsidRDefault="00EC7215" w:rsidP="000960E6">
      <w:pPr>
        <w:spacing w:after="0" w:line="288" w:lineRule="auto"/>
        <w:ind w:left="-567"/>
        <w:jc w:val="both"/>
        <w:rPr>
          <w:rFonts w:ascii="Times New Roman" w:hAnsi="Times New Roman" w:cs="Times New Roman"/>
          <w:sz w:val="28"/>
          <w:szCs w:val="28"/>
        </w:rPr>
      </w:pPr>
      <w:r w:rsidRPr="00995A70">
        <w:rPr>
          <w:rFonts w:ascii="Times New Roman" w:hAnsi="Times New Roman" w:cs="Times New Roman"/>
          <w:sz w:val="28"/>
          <w:szCs w:val="28"/>
        </w:rPr>
        <w:tab/>
      </w:r>
      <w:r w:rsidRPr="00EC7215">
        <w:rPr>
          <w:rFonts w:ascii="Times New Roman" w:hAnsi="Times New Roman" w:cs="Times New Roman"/>
          <w:sz w:val="28"/>
          <w:szCs w:val="28"/>
        </w:rPr>
        <w:t xml:space="preserve">    </w:t>
      </w:r>
      <w:r w:rsidR="000960E6" w:rsidRPr="000960E6">
        <w:rPr>
          <w:rFonts w:ascii="Times New Roman" w:hAnsi="Times New Roman" w:cs="Times New Roman"/>
          <w:sz w:val="28"/>
          <w:szCs w:val="28"/>
        </w:rPr>
        <w:t>Подробно разобрав и проанализировав теоретические аспекты факторинговых операций, можно подвести некие итоги всему вышесказанному. Экономическая сфера жизни крайне важна для понимания человеком, ибо имеет глубокую историю и встречается абсолютно везде. В данной сфере хотелось бы конкретно выделить кредитную систему, так как она тоже располагается повсеместно и напрямую отвечает за жизнедеятельность банков, а те в свою очередь, за экономику в целом. То есть, происходит некий экономический процесс замкнутого круга. Так как в исследовании разбирались понятия факторинга как особый вид кредитования, нельзя не сказать его терминологию. Факторингом называют совокупность финансовых услуг для производителей и поставщиков, которые ведут торговую деятельность с отсрочкой оплаты. Он имеет безумное количество видов</w:t>
      </w:r>
      <w:r>
        <w:rPr>
          <w:rFonts w:ascii="Times New Roman" w:hAnsi="Times New Roman" w:cs="Times New Roman"/>
          <w:sz w:val="28"/>
          <w:szCs w:val="28"/>
        </w:rPr>
        <w:t>, в отличие от остальных видов.</w:t>
      </w:r>
      <w:r w:rsidRPr="00EC7215">
        <w:rPr>
          <w:rFonts w:ascii="Times New Roman" w:hAnsi="Times New Roman" w:cs="Times New Roman"/>
          <w:sz w:val="28"/>
          <w:szCs w:val="28"/>
        </w:rPr>
        <w:t xml:space="preserve"> </w:t>
      </w:r>
      <w:r w:rsidR="000960E6" w:rsidRPr="000960E6">
        <w:rPr>
          <w:rFonts w:ascii="Times New Roman" w:hAnsi="Times New Roman" w:cs="Times New Roman"/>
          <w:sz w:val="28"/>
          <w:szCs w:val="28"/>
        </w:rPr>
        <w:t xml:space="preserve">В общем и целом, можно смело сказать, что роль факторинга крайне важна в жизнедеятельности экономики.  </w:t>
      </w:r>
    </w:p>
    <w:p w:rsidR="000960E6" w:rsidRPr="000960E6" w:rsidRDefault="000960E6" w:rsidP="000960E6">
      <w:pPr>
        <w:spacing w:after="0" w:line="288" w:lineRule="auto"/>
        <w:ind w:left="-567"/>
        <w:jc w:val="both"/>
        <w:rPr>
          <w:rFonts w:ascii="Times New Roman" w:hAnsi="Times New Roman" w:cs="Times New Roman"/>
          <w:sz w:val="28"/>
          <w:szCs w:val="28"/>
        </w:rPr>
      </w:pPr>
    </w:p>
    <w:p w:rsidR="00EC7215" w:rsidRDefault="00EC7215" w:rsidP="00EC7215">
      <w:pPr>
        <w:spacing w:after="0" w:line="288" w:lineRule="auto"/>
        <w:ind w:left="-567"/>
        <w:jc w:val="center"/>
        <w:rPr>
          <w:rFonts w:ascii="Times New Roman" w:hAnsi="Times New Roman" w:cs="Times New Roman"/>
          <w:b/>
          <w:sz w:val="28"/>
          <w:szCs w:val="28"/>
        </w:rPr>
      </w:pPr>
      <w:r w:rsidRPr="00EC7215">
        <w:rPr>
          <w:rFonts w:ascii="Times New Roman" w:hAnsi="Times New Roman" w:cs="Times New Roman"/>
          <w:b/>
          <w:sz w:val="28"/>
          <w:szCs w:val="28"/>
        </w:rPr>
        <w:t>СПИСОК ИСПОЛЬЗУЕМОЙ ЛИТЕРАТУРЫ</w:t>
      </w:r>
      <w:r>
        <w:rPr>
          <w:rFonts w:ascii="Times New Roman" w:hAnsi="Times New Roman" w:cs="Times New Roman"/>
          <w:b/>
          <w:sz w:val="28"/>
          <w:szCs w:val="28"/>
        </w:rPr>
        <w:t>:</w:t>
      </w:r>
    </w:p>
    <w:p w:rsidR="00EC7215" w:rsidRDefault="00EC7215" w:rsidP="00EC7215">
      <w:pPr>
        <w:pStyle w:val="ab"/>
        <w:numPr>
          <w:ilvl w:val="0"/>
          <w:numId w:val="1"/>
        </w:numPr>
        <w:shd w:val="clear" w:color="auto" w:fill="FFFFFF"/>
        <w:spacing w:before="0" w:beforeAutospacing="0" w:after="0" w:afterAutospacing="0" w:line="360" w:lineRule="auto"/>
        <w:jc w:val="both"/>
        <w:rPr>
          <w:color w:val="000000"/>
          <w:sz w:val="28"/>
          <w:szCs w:val="28"/>
        </w:rPr>
      </w:pPr>
      <w:r>
        <w:rPr>
          <w:sz w:val="28"/>
          <w:szCs w:val="28"/>
        </w:rPr>
        <w:t xml:space="preserve">Финансовая культура </w:t>
      </w:r>
      <w:r>
        <w:rPr>
          <w:color w:val="000000"/>
          <w:sz w:val="28"/>
          <w:szCs w:val="28"/>
        </w:rPr>
        <w:t>[электронный ресурс]</w:t>
      </w:r>
      <w:r w:rsidRPr="001C3C63">
        <w:rPr>
          <w:color w:val="000000"/>
          <w:sz w:val="28"/>
          <w:szCs w:val="28"/>
        </w:rPr>
        <w:t xml:space="preserve"> URL:  </w:t>
      </w:r>
      <w:r>
        <w:rPr>
          <w:color w:val="000000"/>
          <w:sz w:val="28"/>
          <w:szCs w:val="28"/>
        </w:rPr>
        <w:t xml:space="preserve"> </w:t>
      </w:r>
      <w:hyperlink r:id="rId10" w:history="1">
        <w:r w:rsidRPr="00C13FDF">
          <w:rPr>
            <w:rStyle w:val="a3"/>
            <w:sz w:val="28"/>
            <w:szCs w:val="28"/>
            <w:lang w:val="en-US"/>
          </w:rPr>
          <w:t>https</w:t>
        </w:r>
        <w:r w:rsidRPr="00C13FDF">
          <w:rPr>
            <w:rStyle w:val="a3"/>
            <w:sz w:val="28"/>
            <w:szCs w:val="28"/>
          </w:rPr>
          <w:t>://</w:t>
        </w:r>
        <w:r w:rsidRPr="00C13FDF">
          <w:rPr>
            <w:rStyle w:val="a3"/>
            <w:sz w:val="28"/>
            <w:szCs w:val="28"/>
            <w:lang w:val="en-US"/>
          </w:rPr>
          <w:t>fincult</w:t>
        </w:r>
        <w:r w:rsidRPr="00C13FDF">
          <w:rPr>
            <w:rStyle w:val="a3"/>
            <w:sz w:val="28"/>
            <w:szCs w:val="28"/>
          </w:rPr>
          <w:t>.</w:t>
        </w:r>
        <w:r w:rsidRPr="00C13FDF">
          <w:rPr>
            <w:rStyle w:val="a3"/>
            <w:sz w:val="28"/>
            <w:szCs w:val="28"/>
            <w:lang w:val="en-US"/>
          </w:rPr>
          <w:t>info</w:t>
        </w:r>
        <w:r w:rsidRPr="00C13FDF">
          <w:rPr>
            <w:rStyle w:val="a3"/>
            <w:sz w:val="28"/>
            <w:szCs w:val="28"/>
          </w:rPr>
          <w:t>/</w:t>
        </w:r>
        <w:r w:rsidRPr="00C13FDF">
          <w:rPr>
            <w:rStyle w:val="a3"/>
            <w:sz w:val="28"/>
            <w:szCs w:val="28"/>
            <w:lang w:val="en-US"/>
          </w:rPr>
          <w:t>article</w:t>
        </w:r>
        <w:r w:rsidRPr="00C13FDF">
          <w:rPr>
            <w:rStyle w:val="a3"/>
            <w:sz w:val="28"/>
            <w:szCs w:val="28"/>
          </w:rPr>
          <w:t>/Факторинг</w:t>
        </w:r>
      </w:hyperlink>
      <w:r>
        <w:rPr>
          <w:sz w:val="28"/>
          <w:szCs w:val="28"/>
        </w:rPr>
        <w:t xml:space="preserve"> </w:t>
      </w:r>
      <w:r>
        <w:rPr>
          <w:color w:val="000000"/>
          <w:sz w:val="28"/>
          <w:szCs w:val="28"/>
        </w:rPr>
        <w:t xml:space="preserve">(дата обращения 1.03.2023) </w:t>
      </w:r>
    </w:p>
    <w:p w:rsidR="00EC7215" w:rsidRDefault="00EC7215" w:rsidP="00EC7215">
      <w:pPr>
        <w:pStyle w:val="ab"/>
        <w:numPr>
          <w:ilvl w:val="0"/>
          <w:numId w:val="1"/>
        </w:numPr>
        <w:shd w:val="clear" w:color="auto" w:fill="FFFFFF"/>
        <w:spacing w:before="0" w:beforeAutospacing="0" w:after="0" w:afterAutospacing="0" w:line="360" w:lineRule="auto"/>
        <w:jc w:val="both"/>
        <w:rPr>
          <w:color w:val="000000"/>
          <w:sz w:val="28"/>
          <w:szCs w:val="28"/>
        </w:rPr>
      </w:pPr>
      <w:r>
        <w:rPr>
          <w:color w:val="000000"/>
          <w:sz w:val="28"/>
          <w:szCs w:val="28"/>
        </w:rPr>
        <w:t>Факторинг.ру [электронный ресурс]</w:t>
      </w:r>
      <w:r w:rsidRPr="00EC7215">
        <w:rPr>
          <w:color w:val="000000"/>
          <w:sz w:val="28"/>
          <w:szCs w:val="28"/>
        </w:rPr>
        <w:t xml:space="preserve"> </w:t>
      </w:r>
      <w:r w:rsidRPr="001C3C63">
        <w:rPr>
          <w:color w:val="000000"/>
          <w:sz w:val="28"/>
          <w:szCs w:val="28"/>
        </w:rPr>
        <w:t xml:space="preserve">URL:  </w:t>
      </w:r>
      <w:r>
        <w:rPr>
          <w:color w:val="000000"/>
          <w:sz w:val="28"/>
          <w:szCs w:val="28"/>
        </w:rPr>
        <w:t xml:space="preserve"> </w:t>
      </w:r>
      <w:hyperlink r:id="rId11" w:history="1">
        <w:r w:rsidRPr="0071086F">
          <w:rPr>
            <w:rStyle w:val="a3"/>
            <w:sz w:val="28"/>
            <w:szCs w:val="28"/>
          </w:rPr>
          <w:t>http://www.factorings.ru/Виды_факторинга</w:t>
        </w:r>
      </w:hyperlink>
      <w:r>
        <w:rPr>
          <w:color w:val="000000"/>
          <w:sz w:val="28"/>
          <w:szCs w:val="28"/>
        </w:rPr>
        <w:t xml:space="preserve">  (дата обращения </w:t>
      </w:r>
      <w:r w:rsidRPr="00EC7215">
        <w:rPr>
          <w:color w:val="000000"/>
          <w:sz w:val="28"/>
          <w:szCs w:val="28"/>
        </w:rPr>
        <w:t>1</w:t>
      </w:r>
      <w:r>
        <w:rPr>
          <w:color w:val="000000"/>
          <w:sz w:val="28"/>
          <w:szCs w:val="28"/>
        </w:rPr>
        <w:t>.</w:t>
      </w:r>
      <w:r w:rsidRPr="00EC7215">
        <w:rPr>
          <w:color w:val="000000"/>
          <w:sz w:val="28"/>
          <w:szCs w:val="28"/>
        </w:rPr>
        <w:t>03</w:t>
      </w:r>
      <w:r>
        <w:rPr>
          <w:color w:val="000000"/>
          <w:sz w:val="28"/>
          <w:szCs w:val="28"/>
        </w:rPr>
        <w:t>.202</w:t>
      </w:r>
      <w:r w:rsidRPr="00EC7215">
        <w:rPr>
          <w:color w:val="000000"/>
          <w:sz w:val="28"/>
          <w:szCs w:val="28"/>
        </w:rPr>
        <w:t>3</w:t>
      </w:r>
      <w:r>
        <w:rPr>
          <w:color w:val="000000"/>
          <w:sz w:val="28"/>
          <w:szCs w:val="28"/>
        </w:rPr>
        <w:t xml:space="preserve">) </w:t>
      </w:r>
    </w:p>
    <w:p w:rsidR="00995A70" w:rsidRDefault="00995A70" w:rsidP="00995A70">
      <w:pPr>
        <w:pStyle w:val="ab"/>
        <w:numPr>
          <w:ilvl w:val="0"/>
          <w:numId w:val="1"/>
        </w:numPr>
        <w:shd w:val="clear" w:color="auto" w:fill="FFFFFF"/>
        <w:spacing w:before="0" w:beforeAutospacing="0" w:after="0" w:afterAutospacing="0" w:line="360" w:lineRule="auto"/>
        <w:jc w:val="both"/>
        <w:rPr>
          <w:sz w:val="28"/>
          <w:szCs w:val="28"/>
        </w:rPr>
      </w:pPr>
      <w:r w:rsidRPr="007124FB">
        <w:rPr>
          <w:sz w:val="28"/>
          <w:szCs w:val="28"/>
        </w:rPr>
        <w:t>Абалкин Л. И., Аболихина Г. Л., Адибеков М. Г. Лизинговые, факторинговые, форфейтинговые оп</w:t>
      </w:r>
      <w:r>
        <w:rPr>
          <w:sz w:val="28"/>
          <w:szCs w:val="28"/>
        </w:rPr>
        <w:t>ерации банков. — М.: ДеКА, 1995 год</w:t>
      </w:r>
    </w:p>
    <w:p w:rsidR="00995A70" w:rsidRDefault="00995A70" w:rsidP="00995A70">
      <w:pPr>
        <w:pStyle w:val="ab"/>
        <w:numPr>
          <w:ilvl w:val="0"/>
          <w:numId w:val="1"/>
        </w:numPr>
        <w:shd w:val="clear" w:color="auto" w:fill="FFFFFF"/>
        <w:spacing w:before="0" w:beforeAutospacing="0" w:after="0" w:afterAutospacing="0" w:line="360" w:lineRule="auto"/>
        <w:jc w:val="both"/>
        <w:rPr>
          <w:color w:val="000000"/>
          <w:sz w:val="28"/>
          <w:szCs w:val="28"/>
        </w:rPr>
      </w:pPr>
      <w:r w:rsidRPr="00600379">
        <w:rPr>
          <w:color w:val="000000"/>
          <w:sz w:val="28"/>
          <w:szCs w:val="28"/>
        </w:rPr>
        <w:t xml:space="preserve">Ассоциация факторинговых компаний </w:t>
      </w:r>
      <w:r w:rsidRPr="001C3C63">
        <w:rPr>
          <w:color w:val="000000"/>
          <w:sz w:val="28"/>
          <w:szCs w:val="28"/>
        </w:rPr>
        <w:t xml:space="preserve">[электронный ресурс]  URL:  </w:t>
      </w:r>
      <w:r>
        <w:rPr>
          <w:color w:val="000000"/>
          <w:sz w:val="28"/>
          <w:szCs w:val="28"/>
        </w:rPr>
        <w:t xml:space="preserve"> </w:t>
      </w:r>
      <w:hyperlink r:id="rId12" w:history="1">
        <w:r w:rsidRPr="00181F63">
          <w:rPr>
            <w:rStyle w:val="a3"/>
            <w:sz w:val="28"/>
            <w:szCs w:val="28"/>
          </w:rPr>
          <w:t>https://asfact.ru/events/faktoring</w:t>
        </w:r>
      </w:hyperlink>
      <w:r>
        <w:rPr>
          <w:color w:val="000000"/>
          <w:sz w:val="28"/>
          <w:szCs w:val="28"/>
        </w:rPr>
        <w:t xml:space="preserve"> (дата обращения </w:t>
      </w:r>
      <w:r w:rsidRPr="00995A70">
        <w:rPr>
          <w:color w:val="000000"/>
          <w:sz w:val="28"/>
          <w:szCs w:val="28"/>
        </w:rPr>
        <w:t>1</w:t>
      </w:r>
      <w:r>
        <w:rPr>
          <w:color w:val="000000"/>
          <w:sz w:val="28"/>
          <w:szCs w:val="28"/>
        </w:rPr>
        <w:t>.</w:t>
      </w:r>
      <w:r w:rsidRPr="00995A70">
        <w:rPr>
          <w:color w:val="000000"/>
          <w:sz w:val="28"/>
          <w:szCs w:val="28"/>
        </w:rPr>
        <w:t>03</w:t>
      </w:r>
      <w:r>
        <w:rPr>
          <w:color w:val="000000"/>
          <w:sz w:val="28"/>
          <w:szCs w:val="28"/>
        </w:rPr>
        <w:t>.202</w:t>
      </w:r>
      <w:r w:rsidRPr="00995A70">
        <w:rPr>
          <w:color w:val="000000"/>
          <w:sz w:val="28"/>
          <w:szCs w:val="28"/>
        </w:rPr>
        <w:t>3</w:t>
      </w:r>
      <w:r>
        <w:rPr>
          <w:color w:val="000000"/>
          <w:sz w:val="28"/>
          <w:szCs w:val="28"/>
        </w:rPr>
        <w:t xml:space="preserve">) </w:t>
      </w:r>
    </w:p>
    <w:p w:rsidR="00080E87" w:rsidRDefault="00080E87" w:rsidP="00995A70">
      <w:pPr>
        <w:pStyle w:val="ab"/>
        <w:numPr>
          <w:ilvl w:val="0"/>
          <w:numId w:val="1"/>
        </w:numPr>
        <w:shd w:val="clear" w:color="auto" w:fill="FFFFFF"/>
        <w:spacing w:before="0" w:beforeAutospacing="0" w:after="0" w:afterAutospacing="0" w:line="360" w:lineRule="auto"/>
        <w:jc w:val="both"/>
        <w:rPr>
          <w:color w:val="000000"/>
          <w:sz w:val="28"/>
          <w:szCs w:val="28"/>
        </w:rPr>
      </w:pPr>
      <w:r w:rsidRPr="00080E87">
        <w:rPr>
          <w:color w:val="000000"/>
          <w:sz w:val="28"/>
          <w:szCs w:val="28"/>
        </w:rPr>
        <w:t xml:space="preserve"> </w:t>
      </w:r>
      <w:r>
        <w:rPr>
          <w:color w:val="000000"/>
          <w:sz w:val="28"/>
          <w:szCs w:val="28"/>
        </w:rPr>
        <w:t xml:space="preserve">Ованесян Н.М., Мидлер Е.А. </w:t>
      </w:r>
      <w:r w:rsidRPr="00080E87">
        <w:rPr>
          <w:color w:val="000000"/>
          <w:sz w:val="28"/>
          <w:szCs w:val="28"/>
        </w:rPr>
        <w:t>Долгосрочное страхование жизни как фактор устойчивого развития рынка страховых услуг в инфляционной среде</w:t>
      </w:r>
      <w:r>
        <w:rPr>
          <w:color w:val="000000"/>
          <w:sz w:val="28"/>
          <w:szCs w:val="28"/>
        </w:rPr>
        <w:t xml:space="preserve"> </w:t>
      </w:r>
      <w:r w:rsidRPr="00080E87">
        <w:rPr>
          <w:color w:val="000000"/>
          <w:sz w:val="28"/>
          <w:szCs w:val="28"/>
        </w:rPr>
        <w:t>// Финансовые исследования. – 2016. – № 1(50). – С. 128-135. – EDN WBCWQV.</w:t>
      </w:r>
    </w:p>
    <w:p w:rsidR="00080E87" w:rsidRDefault="00080E87" w:rsidP="00995A70">
      <w:pPr>
        <w:pStyle w:val="ab"/>
        <w:numPr>
          <w:ilvl w:val="0"/>
          <w:numId w:val="1"/>
        </w:numPr>
        <w:shd w:val="clear" w:color="auto" w:fill="FFFFFF"/>
        <w:spacing w:before="0" w:beforeAutospacing="0" w:after="0" w:afterAutospacing="0" w:line="360" w:lineRule="auto"/>
        <w:jc w:val="both"/>
        <w:rPr>
          <w:color w:val="000000"/>
          <w:sz w:val="28"/>
          <w:szCs w:val="28"/>
        </w:rPr>
      </w:pPr>
      <w:r w:rsidRPr="00080E87">
        <w:rPr>
          <w:color w:val="000000"/>
          <w:sz w:val="28"/>
          <w:szCs w:val="28"/>
        </w:rPr>
        <w:t>Мидлер, Е. А. Методология оценки инструментов зеленого ба</w:t>
      </w:r>
      <w:r>
        <w:rPr>
          <w:color w:val="000000"/>
          <w:sz w:val="28"/>
          <w:szCs w:val="28"/>
        </w:rPr>
        <w:t xml:space="preserve">нкинга на развивающихся рынках </w:t>
      </w:r>
      <w:r w:rsidRPr="00080E87">
        <w:rPr>
          <w:color w:val="000000"/>
          <w:sz w:val="28"/>
          <w:szCs w:val="28"/>
        </w:rPr>
        <w:t>// Ученые записки Международного банковского института. – 2021. – № 3(37). – С. 58-68. – EDN FNVJPW.</w:t>
      </w:r>
    </w:p>
    <w:p w:rsidR="00EC7215" w:rsidRPr="00EC7215" w:rsidRDefault="00EC7215" w:rsidP="00995A70">
      <w:pPr>
        <w:pStyle w:val="ab"/>
        <w:shd w:val="clear" w:color="auto" w:fill="FFFFFF"/>
        <w:spacing w:before="0" w:beforeAutospacing="0" w:after="0" w:afterAutospacing="0" w:line="360" w:lineRule="auto"/>
        <w:ind w:left="720"/>
        <w:jc w:val="both"/>
        <w:rPr>
          <w:color w:val="000000"/>
          <w:sz w:val="28"/>
          <w:szCs w:val="28"/>
        </w:rPr>
      </w:pPr>
    </w:p>
    <w:sectPr w:rsidR="00EC7215" w:rsidRPr="00EC7215" w:rsidSect="00F77BE3">
      <w:pgSz w:w="11906" w:h="16838"/>
      <w:pgMar w:top="1134" w:right="850" w:bottom="1134" w:left="1701" w:header="1134"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3820" w:rsidRDefault="007E3820" w:rsidP="00F77BE3">
      <w:pPr>
        <w:spacing w:after="0" w:line="240" w:lineRule="auto"/>
      </w:pPr>
      <w:r>
        <w:separator/>
      </w:r>
    </w:p>
  </w:endnote>
  <w:endnote w:type="continuationSeparator" w:id="1">
    <w:p w:rsidR="007E3820" w:rsidRDefault="007E3820" w:rsidP="00F77B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3820" w:rsidRDefault="007E3820" w:rsidP="00F77BE3">
      <w:pPr>
        <w:spacing w:after="0" w:line="240" w:lineRule="auto"/>
      </w:pPr>
      <w:r>
        <w:separator/>
      </w:r>
    </w:p>
  </w:footnote>
  <w:footnote w:type="continuationSeparator" w:id="1">
    <w:p w:rsidR="007E3820" w:rsidRDefault="007E3820" w:rsidP="00F77B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F41B0"/>
    <w:multiLevelType w:val="hybridMultilevel"/>
    <w:tmpl w:val="EBB41A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DC954E8"/>
    <w:multiLevelType w:val="hybridMultilevel"/>
    <w:tmpl w:val="1A9E7548"/>
    <w:lvl w:ilvl="0" w:tplc="D53AD2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7AA977B3"/>
    <w:multiLevelType w:val="hybridMultilevel"/>
    <w:tmpl w:val="E6DE86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77BE3"/>
    <w:rsid w:val="000431C9"/>
    <w:rsid w:val="00080E87"/>
    <w:rsid w:val="000960E6"/>
    <w:rsid w:val="001E4B46"/>
    <w:rsid w:val="00283C08"/>
    <w:rsid w:val="003B375F"/>
    <w:rsid w:val="00700B3A"/>
    <w:rsid w:val="007303C1"/>
    <w:rsid w:val="007E3820"/>
    <w:rsid w:val="00995A70"/>
    <w:rsid w:val="00B5704C"/>
    <w:rsid w:val="00B7637C"/>
    <w:rsid w:val="00BC7156"/>
    <w:rsid w:val="00C760ED"/>
    <w:rsid w:val="00D104F6"/>
    <w:rsid w:val="00E47FBB"/>
    <w:rsid w:val="00EC7215"/>
    <w:rsid w:val="00EF0CEE"/>
    <w:rsid w:val="00F77B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4" type="connector" idref="#_x0000_s1030"/>
        <o:r id="V:Rule5" type="connector" idref="#_x0000_s1032"/>
        <o:r id="V:Rule6"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0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77BE3"/>
    <w:rPr>
      <w:color w:val="0000FF" w:themeColor="hyperlink"/>
      <w:u w:val="single"/>
    </w:rPr>
  </w:style>
  <w:style w:type="paragraph" w:styleId="a4">
    <w:name w:val="header"/>
    <w:basedOn w:val="a"/>
    <w:link w:val="a5"/>
    <w:uiPriority w:val="99"/>
    <w:semiHidden/>
    <w:unhideWhenUsed/>
    <w:rsid w:val="00F77BE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77BE3"/>
  </w:style>
  <w:style w:type="paragraph" w:styleId="a6">
    <w:name w:val="footer"/>
    <w:basedOn w:val="a"/>
    <w:link w:val="a7"/>
    <w:uiPriority w:val="99"/>
    <w:semiHidden/>
    <w:unhideWhenUsed/>
    <w:rsid w:val="00F77BE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F77BE3"/>
  </w:style>
  <w:style w:type="paragraph" w:styleId="a8">
    <w:name w:val="Balloon Text"/>
    <w:basedOn w:val="a"/>
    <w:link w:val="a9"/>
    <w:uiPriority w:val="99"/>
    <w:semiHidden/>
    <w:unhideWhenUsed/>
    <w:rsid w:val="00EC721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7215"/>
    <w:rPr>
      <w:rFonts w:ascii="Tahoma" w:hAnsi="Tahoma" w:cs="Tahoma"/>
      <w:sz w:val="16"/>
      <w:szCs w:val="16"/>
    </w:rPr>
  </w:style>
  <w:style w:type="paragraph" w:styleId="aa">
    <w:name w:val="List Paragraph"/>
    <w:basedOn w:val="a"/>
    <w:uiPriority w:val="34"/>
    <w:qFormat/>
    <w:rsid w:val="00EC7215"/>
    <w:pPr>
      <w:ind w:left="720"/>
      <w:contextualSpacing/>
    </w:pPr>
  </w:style>
  <w:style w:type="paragraph" w:styleId="ab">
    <w:name w:val="Normal (Web)"/>
    <w:basedOn w:val="a"/>
    <w:uiPriority w:val="99"/>
    <w:unhideWhenUsed/>
    <w:rsid w:val="00EC721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c">
    <w:name w:val="Table Grid"/>
    <w:basedOn w:val="a1"/>
    <w:uiPriority w:val="59"/>
    <w:rsid w:val="00EF0C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82536923">
      <w:bodyDiv w:val="1"/>
      <w:marLeft w:val="0"/>
      <w:marRight w:val="0"/>
      <w:marTop w:val="0"/>
      <w:marBottom w:val="0"/>
      <w:divBdr>
        <w:top w:val="none" w:sz="0" w:space="0" w:color="auto"/>
        <w:left w:val="none" w:sz="0" w:space="0" w:color="auto"/>
        <w:bottom w:val="none" w:sz="0" w:space="0" w:color="auto"/>
        <w:right w:val="none" w:sz="0" w:space="0" w:color="auto"/>
      </w:divBdr>
    </w:div>
    <w:div w:id="204717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vetlanadyl@yandex.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sfact.ru/events/faktor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torings.ru/&#1042;&#1080;&#1076;&#1099;_&#1092;&#1072;&#1082;&#1090;&#1086;&#1088;&#1080;&#1085;&#1075;&#1072;" TargetMode="External"/><Relationship Id="rId5" Type="http://schemas.openxmlformats.org/officeDocument/2006/relationships/webSettings" Target="webSettings.xml"/><Relationship Id="rId10" Type="http://schemas.openxmlformats.org/officeDocument/2006/relationships/hyperlink" Target="https://fincult.info/article/&#1060;&#1072;&#1082;&#1090;&#1086;&#1088;&#1080;&#1085;&#1075;" TargetMode="External"/><Relationship Id="rId4" Type="http://schemas.openxmlformats.org/officeDocument/2006/relationships/settings" Target="settings.xml"/><Relationship Id="rId9" Type="http://schemas.openxmlformats.org/officeDocument/2006/relationships/hyperlink" Target="mailto:svetlanadyl@yandex.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3563B5-EFBB-4B24-B6CA-A7BAE124B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2300</Words>
  <Characters>13114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Елена</cp:lastModifiedBy>
  <cp:revision>2</cp:revision>
  <dcterms:created xsi:type="dcterms:W3CDTF">2023-03-14T20:38:00Z</dcterms:created>
  <dcterms:modified xsi:type="dcterms:W3CDTF">2023-03-14T20:38:00Z</dcterms:modified>
</cp:coreProperties>
</file>