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9C1" w:rsidRDefault="00FC3453" w:rsidP="00FC3453">
      <w:pPr>
        <w:spacing w:after="0" w:line="288" w:lineRule="auto"/>
        <w:rPr>
          <w:rFonts w:ascii="Times New Roman" w:hAnsi="Times New Roman" w:cs="Times New Roman"/>
          <w:sz w:val="28"/>
          <w:szCs w:val="28"/>
        </w:rPr>
      </w:pPr>
      <w:r>
        <w:rPr>
          <w:rFonts w:ascii="Times New Roman" w:hAnsi="Times New Roman" w:cs="Times New Roman"/>
          <w:sz w:val="28"/>
          <w:szCs w:val="28"/>
        </w:rPr>
        <w:t>УДК:</w:t>
      </w:r>
    </w:p>
    <w:p w:rsidR="00FC3453" w:rsidRDefault="00FC3453" w:rsidP="002C0836">
      <w:pPr>
        <w:spacing w:after="0" w:line="288" w:lineRule="auto"/>
        <w:rPr>
          <w:rFonts w:ascii="Times New Roman" w:hAnsi="Times New Roman" w:cs="Times New Roman"/>
          <w:sz w:val="28"/>
          <w:szCs w:val="28"/>
        </w:rPr>
      </w:pPr>
    </w:p>
    <w:p w:rsidR="002C0836" w:rsidRPr="002C0836" w:rsidRDefault="0030088C" w:rsidP="002C0836">
      <w:pPr>
        <w:spacing w:after="0" w:line="288" w:lineRule="auto"/>
        <w:rPr>
          <w:rFonts w:ascii="Times New Roman" w:hAnsi="Times New Roman" w:cs="Times New Roman"/>
          <w:b/>
          <w:sz w:val="28"/>
          <w:szCs w:val="28"/>
        </w:rPr>
      </w:pPr>
      <w:r>
        <w:rPr>
          <w:rFonts w:ascii="Times New Roman" w:hAnsi="Times New Roman" w:cs="Times New Roman"/>
          <w:b/>
          <w:sz w:val="28"/>
          <w:szCs w:val="28"/>
        </w:rPr>
        <w:t>Илья Романович Джапаридзе</w:t>
      </w:r>
    </w:p>
    <w:p w:rsidR="002C0836" w:rsidRPr="002C0836" w:rsidRDefault="002C0836" w:rsidP="002C0836">
      <w:pPr>
        <w:spacing w:after="0" w:line="288" w:lineRule="auto"/>
        <w:rPr>
          <w:rFonts w:ascii="Times New Roman" w:hAnsi="Times New Roman" w:cs="Times New Roman"/>
          <w:sz w:val="28"/>
          <w:szCs w:val="28"/>
        </w:rPr>
      </w:pPr>
      <w:r w:rsidRPr="002C0836">
        <w:rPr>
          <w:rFonts w:ascii="Times New Roman" w:hAnsi="Times New Roman" w:cs="Times New Roman"/>
          <w:sz w:val="28"/>
          <w:szCs w:val="28"/>
        </w:rPr>
        <w:t>Аспирант, Кафедра экономики и финансов предприятий и отраслей</w:t>
      </w:r>
    </w:p>
    <w:p w:rsidR="002C0836" w:rsidRPr="002C0836" w:rsidRDefault="002C0836" w:rsidP="002C0836">
      <w:pPr>
        <w:spacing w:after="0" w:line="288" w:lineRule="auto"/>
        <w:rPr>
          <w:rFonts w:ascii="Times New Roman" w:hAnsi="Times New Roman" w:cs="Times New Roman"/>
          <w:sz w:val="28"/>
          <w:szCs w:val="28"/>
        </w:rPr>
      </w:pPr>
      <w:r w:rsidRPr="002C0836">
        <w:rPr>
          <w:rFonts w:ascii="Times New Roman" w:hAnsi="Times New Roman" w:cs="Times New Roman"/>
          <w:sz w:val="28"/>
          <w:szCs w:val="28"/>
        </w:rPr>
        <w:t xml:space="preserve">АНО </w:t>
      </w:r>
      <w:proofErr w:type="gramStart"/>
      <w:r w:rsidRPr="002C0836">
        <w:rPr>
          <w:rFonts w:ascii="Times New Roman" w:hAnsi="Times New Roman" w:cs="Times New Roman"/>
          <w:sz w:val="28"/>
          <w:szCs w:val="28"/>
        </w:rPr>
        <w:t>ВО</w:t>
      </w:r>
      <w:proofErr w:type="gramEnd"/>
      <w:r w:rsidRPr="002C0836">
        <w:rPr>
          <w:rFonts w:ascii="Times New Roman" w:hAnsi="Times New Roman" w:cs="Times New Roman"/>
          <w:sz w:val="28"/>
          <w:szCs w:val="28"/>
        </w:rPr>
        <w:t xml:space="preserve"> </w:t>
      </w:r>
      <w:r w:rsidRPr="002C0836">
        <w:rPr>
          <w:rFonts w:ascii="Times New Roman" w:eastAsia="Times New Roman" w:hAnsi="Times New Roman" w:cs="Times New Roman"/>
          <w:i/>
          <w:iCs/>
          <w:color w:val="000000"/>
          <w:sz w:val="28"/>
          <w:szCs w:val="28"/>
          <w:lang w:eastAsia="ru-RU"/>
        </w:rPr>
        <w:t>«</w:t>
      </w:r>
      <w:r w:rsidRPr="002C0836">
        <w:rPr>
          <w:rFonts w:ascii="Times New Roman" w:hAnsi="Times New Roman" w:cs="Times New Roman"/>
          <w:sz w:val="28"/>
          <w:szCs w:val="28"/>
        </w:rPr>
        <w:t>Международный банковский институт имени Анатолия Собчака</w:t>
      </w:r>
      <w:r w:rsidRPr="002C0836">
        <w:rPr>
          <w:rFonts w:ascii="Times New Roman" w:hAnsi="Times New Roman" w:cs="Times New Roman"/>
          <w:color w:val="202124"/>
          <w:sz w:val="28"/>
          <w:szCs w:val="28"/>
          <w:shd w:val="clear" w:color="auto" w:fill="FFFFFF"/>
        </w:rPr>
        <w:t>»</w:t>
      </w:r>
      <w:r w:rsidRPr="002C0836">
        <w:rPr>
          <w:rFonts w:ascii="Times New Roman" w:hAnsi="Times New Roman" w:cs="Times New Roman"/>
          <w:sz w:val="28"/>
          <w:szCs w:val="28"/>
        </w:rPr>
        <w:t>, Санкт-Петербург, Россия</w:t>
      </w:r>
    </w:p>
    <w:p w:rsidR="00FC3453" w:rsidRDefault="00FC3453" w:rsidP="00FC3453">
      <w:pPr>
        <w:spacing w:after="0" w:line="288" w:lineRule="auto"/>
        <w:rPr>
          <w:rFonts w:ascii="Times New Roman" w:hAnsi="Times New Roman" w:cs="Times New Roman"/>
          <w:sz w:val="28"/>
          <w:szCs w:val="28"/>
        </w:rPr>
      </w:pPr>
    </w:p>
    <w:p w:rsidR="00FC3453" w:rsidRDefault="00FC3453" w:rsidP="00FC3453">
      <w:pPr>
        <w:spacing w:after="0" w:line="288" w:lineRule="auto"/>
        <w:ind w:firstLine="709"/>
        <w:rPr>
          <w:rFonts w:ascii="Times New Roman" w:hAnsi="Times New Roman" w:cs="Times New Roman"/>
          <w:b/>
          <w:sz w:val="28"/>
          <w:szCs w:val="28"/>
        </w:rPr>
      </w:pPr>
      <w:r>
        <w:rPr>
          <w:rFonts w:ascii="Times New Roman" w:hAnsi="Times New Roman" w:cs="Times New Roman"/>
          <w:b/>
          <w:sz w:val="28"/>
          <w:szCs w:val="28"/>
        </w:rPr>
        <w:t>Аннотация</w:t>
      </w:r>
    </w:p>
    <w:p w:rsidR="00FC3453" w:rsidRDefault="00F241E9" w:rsidP="001A2E76">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 анализ</w:t>
      </w:r>
      <w:r w:rsidR="001A2E76">
        <w:rPr>
          <w:rFonts w:ascii="Times New Roman" w:hAnsi="Times New Roman" w:cs="Times New Roman"/>
          <w:sz w:val="28"/>
          <w:szCs w:val="28"/>
        </w:rPr>
        <w:t xml:space="preserve"> особенност</w:t>
      </w:r>
      <w:r>
        <w:rPr>
          <w:rFonts w:ascii="Times New Roman" w:hAnsi="Times New Roman" w:cs="Times New Roman"/>
          <w:sz w:val="28"/>
          <w:szCs w:val="28"/>
        </w:rPr>
        <w:t>ей</w:t>
      </w:r>
      <w:r w:rsidR="001A2E76">
        <w:rPr>
          <w:rFonts w:ascii="Times New Roman" w:hAnsi="Times New Roman" w:cs="Times New Roman"/>
          <w:sz w:val="28"/>
          <w:szCs w:val="28"/>
        </w:rPr>
        <w:t xml:space="preserve"> цифровой трансформации малого и среднего бизнеса в РФ в региональном разрезе. Предложена авторская т</w:t>
      </w:r>
      <w:r>
        <w:rPr>
          <w:rFonts w:ascii="Times New Roman" w:hAnsi="Times New Roman" w:cs="Times New Roman"/>
          <w:sz w:val="28"/>
          <w:szCs w:val="28"/>
        </w:rPr>
        <w:t>ип</w:t>
      </w:r>
      <w:r w:rsidR="001A2E76">
        <w:rPr>
          <w:rFonts w:ascii="Times New Roman" w:hAnsi="Times New Roman" w:cs="Times New Roman"/>
          <w:sz w:val="28"/>
          <w:szCs w:val="28"/>
        </w:rPr>
        <w:t xml:space="preserve">ология регионов </w:t>
      </w:r>
      <w:r w:rsidR="00B7494B">
        <w:rPr>
          <w:rFonts w:ascii="Times New Roman" w:hAnsi="Times New Roman" w:cs="Times New Roman"/>
          <w:sz w:val="28"/>
          <w:szCs w:val="28"/>
        </w:rPr>
        <w:t xml:space="preserve">с учетом </w:t>
      </w:r>
      <w:r w:rsidR="001A2E76">
        <w:rPr>
          <w:rFonts w:ascii="Times New Roman" w:hAnsi="Times New Roman" w:cs="Times New Roman"/>
          <w:sz w:val="28"/>
          <w:szCs w:val="28"/>
        </w:rPr>
        <w:t>выбранных ими тактик поддержки цифровой трансформации субъектов малого и среднего бизнеса.</w:t>
      </w:r>
    </w:p>
    <w:p w:rsidR="00FC3453" w:rsidRDefault="00FC3453" w:rsidP="00FC3453">
      <w:pPr>
        <w:spacing w:after="0" w:line="288" w:lineRule="auto"/>
        <w:ind w:firstLine="709"/>
        <w:rPr>
          <w:rFonts w:ascii="Times New Roman" w:hAnsi="Times New Roman" w:cs="Times New Roman"/>
          <w:b/>
          <w:sz w:val="28"/>
          <w:szCs w:val="28"/>
        </w:rPr>
      </w:pPr>
      <w:r>
        <w:rPr>
          <w:rFonts w:ascii="Times New Roman" w:hAnsi="Times New Roman" w:cs="Times New Roman"/>
          <w:b/>
          <w:sz w:val="28"/>
          <w:szCs w:val="28"/>
        </w:rPr>
        <w:t>Ключевые слова</w:t>
      </w:r>
    </w:p>
    <w:p w:rsidR="00FC3453" w:rsidRDefault="00B7494B" w:rsidP="00B7494B">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Малый и средний бизнес, цифровая трансформация, </w:t>
      </w:r>
      <w:proofErr w:type="spellStart"/>
      <w:r>
        <w:rPr>
          <w:rFonts w:ascii="Times New Roman" w:hAnsi="Times New Roman" w:cs="Times New Roman"/>
          <w:sz w:val="28"/>
          <w:szCs w:val="28"/>
        </w:rPr>
        <w:t>цифровизация</w:t>
      </w:r>
      <w:proofErr w:type="spellEnd"/>
      <w:r>
        <w:rPr>
          <w:rFonts w:ascii="Times New Roman" w:hAnsi="Times New Roman" w:cs="Times New Roman"/>
          <w:sz w:val="28"/>
          <w:szCs w:val="28"/>
        </w:rPr>
        <w:t>, регуляторная песочница.</w:t>
      </w:r>
    </w:p>
    <w:p w:rsidR="0030088C" w:rsidRDefault="0030088C" w:rsidP="00FC3453">
      <w:pPr>
        <w:spacing w:after="0" w:line="288" w:lineRule="auto"/>
        <w:jc w:val="center"/>
        <w:rPr>
          <w:rFonts w:ascii="Times New Roman" w:hAnsi="Times New Roman" w:cs="Times New Roman"/>
          <w:sz w:val="28"/>
          <w:szCs w:val="28"/>
        </w:rPr>
      </w:pPr>
    </w:p>
    <w:p w:rsidR="0030088C" w:rsidRDefault="00FC3453" w:rsidP="0030088C">
      <w:pPr>
        <w:spacing w:after="0" w:line="288" w:lineRule="auto"/>
        <w:jc w:val="center"/>
        <w:rPr>
          <w:rFonts w:ascii="Times New Roman" w:hAnsi="Times New Roman" w:cs="Times New Roman"/>
          <w:b/>
          <w:bCs/>
          <w:sz w:val="28"/>
          <w:szCs w:val="28"/>
        </w:rPr>
      </w:pPr>
      <w:r w:rsidRPr="00FC3453">
        <w:rPr>
          <w:rFonts w:ascii="Times New Roman" w:hAnsi="Times New Roman" w:cs="Times New Roman"/>
          <w:b/>
          <w:bCs/>
          <w:sz w:val="28"/>
          <w:szCs w:val="28"/>
        </w:rPr>
        <w:t xml:space="preserve">ЦИФРОВАЯ ТРАНСФОРМАЦИЯ </w:t>
      </w:r>
      <w:r w:rsidR="0030088C">
        <w:rPr>
          <w:rFonts w:ascii="Times New Roman" w:hAnsi="Times New Roman" w:cs="Times New Roman"/>
          <w:b/>
          <w:bCs/>
          <w:sz w:val="28"/>
          <w:szCs w:val="28"/>
        </w:rPr>
        <w:t xml:space="preserve">КАК ФАКТОР КОНКУРЕНТОСПОСОБНОСТИ </w:t>
      </w:r>
      <w:r w:rsidRPr="00FC3453">
        <w:rPr>
          <w:rFonts w:ascii="Times New Roman" w:hAnsi="Times New Roman" w:cs="Times New Roman"/>
          <w:b/>
          <w:bCs/>
          <w:sz w:val="28"/>
          <w:szCs w:val="28"/>
        </w:rPr>
        <w:t xml:space="preserve">МАЛОГО И СРЕДНЕГО </w:t>
      </w:r>
    </w:p>
    <w:p w:rsidR="00FC3453" w:rsidRPr="00F04E64" w:rsidRDefault="00FC3453" w:rsidP="0030088C">
      <w:pPr>
        <w:spacing w:after="0" w:line="288" w:lineRule="auto"/>
        <w:jc w:val="center"/>
        <w:rPr>
          <w:rFonts w:ascii="Times New Roman" w:hAnsi="Times New Roman" w:cs="Times New Roman"/>
          <w:b/>
          <w:bCs/>
          <w:sz w:val="28"/>
          <w:szCs w:val="28"/>
          <w:lang w:val="en-US"/>
        </w:rPr>
      </w:pPr>
      <w:r w:rsidRPr="00FC3453">
        <w:rPr>
          <w:rFonts w:ascii="Times New Roman" w:hAnsi="Times New Roman" w:cs="Times New Roman"/>
          <w:b/>
          <w:bCs/>
          <w:sz w:val="28"/>
          <w:szCs w:val="28"/>
        </w:rPr>
        <w:t>БИЗНЕСА</w:t>
      </w:r>
      <w:r w:rsidR="0030088C" w:rsidRPr="00F04E64">
        <w:rPr>
          <w:rFonts w:ascii="Times New Roman" w:hAnsi="Times New Roman" w:cs="Times New Roman"/>
          <w:b/>
          <w:bCs/>
          <w:sz w:val="28"/>
          <w:szCs w:val="28"/>
          <w:lang w:val="en-US"/>
        </w:rPr>
        <w:t xml:space="preserve"> </w:t>
      </w:r>
      <w:r w:rsidRPr="00FC3453">
        <w:rPr>
          <w:rFonts w:ascii="Times New Roman" w:hAnsi="Times New Roman" w:cs="Times New Roman"/>
          <w:b/>
          <w:bCs/>
          <w:sz w:val="28"/>
          <w:szCs w:val="28"/>
        </w:rPr>
        <w:t>РФ</w:t>
      </w:r>
    </w:p>
    <w:p w:rsidR="00B7494B" w:rsidRPr="00F04E64" w:rsidRDefault="00B7494B" w:rsidP="00B7494B">
      <w:pPr>
        <w:rPr>
          <w:rFonts w:ascii="Times New Roman" w:hAnsi="Times New Roman" w:cs="Times New Roman"/>
          <w:bCs/>
          <w:sz w:val="28"/>
          <w:szCs w:val="28"/>
          <w:lang w:val="en-US"/>
        </w:rPr>
      </w:pPr>
    </w:p>
    <w:p w:rsidR="00B7494B" w:rsidRPr="00B93CFE" w:rsidRDefault="00B7494B" w:rsidP="00B7494B">
      <w:pPr>
        <w:spacing w:after="0" w:line="288" w:lineRule="auto"/>
        <w:rPr>
          <w:rFonts w:ascii="Times New Roman" w:hAnsi="Times New Roman" w:cs="Times New Roman"/>
          <w:sz w:val="28"/>
          <w:szCs w:val="28"/>
          <w:lang w:val="en-US"/>
        </w:rPr>
      </w:pPr>
      <w:r w:rsidRPr="00B93CFE">
        <w:rPr>
          <w:rFonts w:ascii="Times New Roman" w:hAnsi="Times New Roman" w:cs="Times New Roman"/>
          <w:sz w:val="28"/>
          <w:szCs w:val="28"/>
          <w:lang w:val="en-US"/>
        </w:rPr>
        <w:t>UDK:</w:t>
      </w:r>
    </w:p>
    <w:p w:rsidR="002C0836" w:rsidRPr="002C0836" w:rsidRDefault="002C0836" w:rsidP="002C0836">
      <w:pPr>
        <w:spacing w:after="0" w:line="288" w:lineRule="auto"/>
        <w:rPr>
          <w:rFonts w:ascii="Times New Roman" w:hAnsi="Times New Roman" w:cs="Times New Roman"/>
          <w:b/>
          <w:sz w:val="28"/>
          <w:szCs w:val="28"/>
          <w:lang w:val="en-US"/>
        </w:rPr>
      </w:pPr>
      <w:proofErr w:type="spellStart"/>
      <w:r w:rsidRPr="002C0836">
        <w:rPr>
          <w:rFonts w:ascii="Times New Roman" w:hAnsi="Times New Roman" w:cs="Times New Roman"/>
          <w:b/>
          <w:sz w:val="28"/>
          <w:szCs w:val="28"/>
          <w:lang w:val="en-US"/>
        </w:rPr>
        <w:t>Ilya</w:t>
      </w:r>
      <w:proofErr w:type="spellEnd"/>
      <w:r w:rsidRPr="002C0836">
        <w:rPr>
          <w:rFonts w:ascii="Times New Roman" w:hAnsi="Times New Roman" w:cs="Times New Roman"/>
          <w:b/>
          <w:sz w:val="28"/>
          <w:szCs w:val="28"/>
          <w:lang w:val="en-US"/>
        </w:rPr>
        <w:t xml:space="preserve"> </w:t>
      </w:r>
      <w:proofErr w:type="spellStart"/>
      <w:r w:rsidRPr="002C0836">
        <w:rPr>
          <w:rFonts w:ascii="Times New Roman" w:hAnsi="Times New Roman" w:cs="Times New Roman"/>
          <w:b/>
          <w:sz w:val="28"/>
          <w:szCs w:val="28"/>
          <w:lang w:val="en-US"/>
        </w:rPr>
        <w:t>Romanovich</w:t>
      </w:r>
      <w:proofErr w:type="spellEnd"/>
      <w:r w:rsidRPr="002C0836">
        <w:rPr>
          <w:rFonts w:ascii="Times New Roman" w:hAnsi="Times New Roman" w:cs="Times New Roman"/>
          <w:b/>
          <w:sz w:val="28"/>
          <w:szCs w:val="28"/>
          <w:lang w:val="en-US"/>
        </w:rPr>
        <w:t xml:space="preserve"> </w:t>
      </w:r>
      <w:proofErr w:type="spellStart"/>
      <w:r w:rsidRPr="002C0836">
        <w:rPr>
          <w:rFonts w:ascii="Times New Roman" w:hAnsi="Times New Roman" w:cs="Times New Roman"/>
          <w:b/>
          <w:sz w:val="28"/>
          <w:szCs w:val="28"/>
          <w:lang w:val="en-US"/>
        </w:rPr>
        <w:t>Japaridze</w:t>
      </w:r>
      <w:proofErr w:type="spellEnd"/>
      <w:r w:rsidRPr="002C0836">
        <w:rPr>
          <w:rFonts w:ascii="Times New Roman" w:hAnsi="Times New Roman" w:cs="Times New Roman"/>
          <w:b/>
          <w:sz w:val="28"/>
          <w:szCs w:val="28"/>
          <w:lang w:val="en-US"/>
        </w:rPr>
        <w:t xml:space="preserve">, </w:t>
      </w:r>
    </w:p>
    <w:p w:rsidR="002C0836" w:rsidRPr="002C0836" w:rsidRDefault="002C0836" w:rsidP="002C0836">
      <w:pPr>
        <w:spacing w:after="0" w:line="288" w:lineRule="auto"/>
        <w:rPr>
          <w:rFonts w:ascii="Times New Roman" w:hAnsi="Times New Roman" w:cs="Times New Roman"/>
          <w:sz w:val="28"/>
          <w:szCs w:val="28"/>
          <w:lang w:val="en-US"/>
        </w:rPr>
      </w:pPr>
      <w:r w:rsidRPr="002C0836">
        <w:rPr>
          <w:rFonts w:ascii="Times New Roman" w:hAnsi="Times New Roman" w:cs="Times New Roman"/>
          <w:sz w:val="28"/>
          <w:szCs w:val="28"/>
          <w:lang w:val="en-US"/>
        </w:rPr>
        <w:t xml:space="preserve">Postgraduate Student, Department of Economics and Finance of Enterprises and Industries ANO VO "International Banking Institute named after Anatoly </w:t>
      </w:r>
      <w:proofErr w:type="spellStart"/>
      <w:r w:rsidRPr="002C0836">
        <w:rPr>
          <w:rFonts w:ascii="Times New Roman" w:hAnsi="Times New Roman" w:cs="Times New Roman"/>
          <w:sz w:val="28"/>
          <w:szCs w:val="28"/>
          <w:lang w:val="en-US"/>
        </w:rPr>
        <w:t>Sobchak</w:t>
      </w:r>
      <w:proofErr w:type="spellEnd"/>
      <w:r w:rsidRPr="002C0836">
        <w:rPr>
          <w:rFonts w:ascii="Times New Roman" w:hAnsi="Times New Roman" w:cs="Times New Roman"/>
          <w:sz w:val="28"/>
          <w:szCs w:val="28"/>
          <w:lang w:val="en-US"/>
        </w:rPr>
        <w:t>", St. Petersburg, Russia</w:t>
      </w:r>
    </w:p>
    <w:p w:rsidR="002C0836" w:rsidRPr="002C0836" w:rsidRDefault="002C0836" w:rsidP="002C0836">
      <w:pPr>
        <w:spacing w:after="0" w:line="288" w:lineRule="auto"/>
        <w:ind w:firstLine="709"/>
        <w:jc w:val="both"/>
        <w:rPr>
          <w:rFonts w:ascii="Times New Roman" w:hAnsi="Times New Roman" w:cs="Times New Roman"/>
          <w:sz w:val="28"/>
          <w:szCs w:val="28"/>
          <w:lang w:val="en-US"/>
        </w:rPr>
      </w:pPr>
    </w:p>
    <w:p w:rsidR="00B7494B" w:rsidRPr="0030088C" w:rsidRDefault="00B7494B" w:rsidP="00B7494B">
      <w:pPr>
        <w:spacing w:after="0" w:line="288" w:lineRule="auto"/>
        <w:ind w:firstLine="709"/>
        <w:jc w:val="both"/>
        <w:rPr>
          <w:rFonts w:ascii="Times New Roman" w:hAnsi="Times New Roman" w:cs="Times New Roman"/>
          <w:b/>
          <w:sz w:val="28"/>
          <w:szCs w:val="28"/>
          <w:lang w:val="en-US"/>
        </w:rPr>
      </w:pPr>
      <w:r>
        <w:rPr>
          <w:rFonts w:ascii="Times New Roman" w:hAnsi="Times New Roman" w:cs="Times New Roman"/>
          <w:b/>
          <w:sz w:val="28"/>
          <w:szCs w:val="28"/>
          <w:lang w:val="en-US"/>
        </w:rPr>
        <w:t>A</w:t>
      </w:r>
      <w:r w:rsidRPr="0030088C">
        <w:rPr>
          <w:rFonts w:ascii="Times New Roman" w:hAnsi="Times New Roman" w:cs="Times New Roman"/>
          <w:b/>
          <w:sz w:val="28"/>
          <w:szCs w:val="28"/>
          <w:lang w:val="en-US"/>
        </w:rPr>
        <w:t>nnotation</w:t>
      </w:r>
    </w:p>
    <w:p w:rsidR="00B7494B" w:rsidRPr="00B93CFE" w:rsidRDefault="00B7494B" w:rsidP="00B7494B">
      <w:pPr>
        <w:spacing w:after="0" w:line="288" w:lineRule="auto"/>
        <w:ind w:firstLine="709"/>
        <w:jc w:val="both"/>
        <w:rPr>
          <w:rFonts w:ascii="Times New Roman" w:hAnsi="Times New Roman" w:cs="Times New Roman"/>
          <w:sz w:val="28"/>
          <w:szCs w:val="28"/>
          <w:lang w:val="en-US"/>
        </w:rPr>
      </w:pPr>
      <w:r w:rsidRPr="00B93CFE">
        <w:rPr>
          <w:rFonts w:ascii="Times New Roman" w:hAnsi="Times New Roman" w:cs="Times New Roman"/>
          <w:sz w:val="28"/>
          <w:szCs w:val="28"/>
          <w:lang w:val="en-US"/>
        </w:rPr>
        <w:t>The analysis of the features of the digital transformation of small and medium-sized businesses in the Russian Federation in the regional context was carried out. The author's typology of regions is proposed, taking into account the tactics they have chosen to support the digital transformation of small and medium-sized businesses.</w:t>
      </w:r>
    </w:p>
    <w:p w:rsidR="00B7494B" w:rsidRPr="00B93CFE" w:rsidRDefault="00B7494B" w:rsidP="00B7494B">
      <w:pPr>
        <w:spacing w:after="0" w:line="288" w:lineRule="auto"/>
        <w:ind w:firstLine="709"/>
        <w:jc w:val="both"/>
        <w:rPr>
          <w:rFonts w:ascii="Times New Roman" w:hAnsi="Times New Roman" w:cs="Times New Roman"/>
          <w:b/>
          <w:sz w:val="28"/>
          <w:szCs w:val="28"/>
          <w:lang w:val="en-US"/>
        </w:rPr>
      </w:pPr>
      <w:r w:rsidRPr="00B93CFE">
        <w:rPr>
          <w:rFonts w:ascii="Times New Roman" w:hAnsi="Times New Roman" w:cs="Times New Roman"/>
          <w:b/>
          <w:sz w:val="28"/>
          <w:szCs w:val="28"/>
          <w:lang w:val="en-US"/>
        </w:rPr>
        <w:t>Keywords</w:t>
      </w:r>
    </w:p>
    <w:p w:rsidR="00B7494B" w:rsidRPr="00F04E64" w:rsidRDefault="00B7494B" w:rsidP="00F04E64">
      <w:pPr>
        <w:spacing w:after="0" w:line="288" w:lineRule="auto"/>
        <w:ind w:firstLine="709"/>
        <w:jc w:val="both"/>
        <w:rPr>
          <w:rFonts w:ascii="Times New Roman" w:hAnsi="Times New Roman" w:cs="Times New Roman"/>
          <w:sz w:val="28"/>
          <w:szCs w:val="28"/>
          <w:lang w:val="en-US"/>
        </w:rPr>
      </w:pPr>
      <w:proofErr w:type="gramStart"/>
      <w:r w:rsidRPr="00B93CFE">
        <w:rPr>
          <w:rFonts w:ascii="Times New Roman" w:hAnsi="Times New Roman" w:cs="Times New Roman"/>
          <w:sz w:val="28"/>
          <w:szCs w:val="28"/>
          <w:lang w:val="en-US"/>
        </w:rPr>
        <w:t>Small and medium business, digital transformation, digitalization, regulatory sandbox.</w:t>
      </w:r>
      <w:proofErr w:type="gramEnd"/>
    </w:p>
    <w:p w:rsidR="00757FB8" w:rsidRPr="00B93CFE" w:rsidRDefault="00B7494B" w:rsidP="00B7494B">
      <w:pPr>
        <w:spacing w:after="0" w:line="288" w:lineRule="auto"/>
        <w:jc w:val="center"/>
        <w:rPr>
          <w:rFonts w:ascii="Times New Roman" w:hAnsi="Times New Roman" w:cs="Times New Roman"/>
          <w:b/>
          <w:bCs/>
          <w:sz w:val="28"/>
          <w:szCs w:val="28"/>
          <w:lang w:val="en-US"/>
        </w:rPr>
      </w:pPr>
      <w:r w:rsidRPr="00B93CFE">
        <w:rPr>
          <w:rFonts w:ascii="Times New Roman" w:hAnsi="Times New Roman" w:cs="Times New Roman"/>
          <w:b/>
          <w:bCs/>
          <w:sz w:val="28"/>
          <w:szCs w:val="28"/>
          <w:lang w:val="en-US"/>
        </w:rPr>
        <w:t>DIGITAL TRANSFORMATION OF SMALL AND MEDIUM BUSINESS IN THE RUSSIAN FEDERATION</w:t>
      </w:r>
      <w:r w:rsidR="00757FB8" w:rsidRPr="00B93CFE">
        <w:rPr>
          <w:rFonts w:ascii="Times New Roman" w:hAnsi="Times New Roman" w:cs="Times New Roman"/>
          <w:b/>
          <w:bCs/>
          <w:sz w:val="28"/>
          <w:szCs w:val="28"/>
          <w:lang w:val="en-US"/>
        </w:rPr>
        <w:br w:type="page"/>
      </w:r>
    </w:p>
    <w:p w:rsidR="00A37CB2" w:rsidRDefault="00190077" w:rsidP="00190077">
      <w:pPr>
        <w:spacing w:after="0" w:line="288"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Ключевым фактором конкурентоспособности бизнеса любых масштабов и любой отрасли в современных социально-экономических и условиях является его технологичность и использование инновационных форм реализации предпринимательского потенциала. Это утверждение справедливо и особенно актуально для субъектов малого и среднего бизнеса. Вопрос</w:t>
      </w:r>
      <w:r w:rsidR="00757FB8">
        <w:rPr>
          <w:rFonts w:ascii="Times New Roman" w:hAnsi="Times New Roman" w:cs="Times New Roman"/>
          <w:bCs/>
          <w:sz w:val="28"/>
          <w:szCs w:val="28"/>
        </w:rPr>
        <w:t xml:space="preserve"> их</w:t>
      </w:r>
      <w:r>
        <w:rPr>
          <w:rFonts w:ascii="Times New Roman" w:hAnsi="Times New Roman" w:cs="Times New Roman"/>
          <w:bCs/>
          <w:sz w:val="28"/>
          <w:szCs w:val="28"/>
        </w:rPr>
        <w:t xml:space="preserve"> выживания в условиях острой конкуренции осложняется негативными факторами внешнего воздействия, связанного с последствиями </w:t>
      </w:r>
      <w:proofErr w:type="spellStart"/>
      <w:r>
        <w:rPr>
          <w:rFonts w:ascii="Times New Roman" w:hAnsi="Times New Roman" w:cs="Times New Roman"/>
          <w:bCs/>
          <w:sz w:val="28"/>
          <w:szCs w:val="28"/>
        </w:rPr>
        <w:t>противопандемийных</w:t>
      </w:r>
      <w:proofErr w:type="spellEnd"/>
      <w:r>
        <w:rPr>
          <w:rFonts w:ascii="Times New Roman" w:hAnsi="Times New Roman" w:cs="Times New Roman"/>
          <w:bCs/>
          <w:sz w:val="28"/>
          <w:szCs w:val="28"/>
        </w:rPr>
        <w:t xml:space="preserve"> мер, нарушением социально-политических и торгово-экономических связей в св</w:t>
      </w:r>
      <w:r w:rsidR="00960E34">
        <w:rPr>
          <w:rFonts w:ascii="Times New Roman" w:hAnsi="Times New Roman" w:cs="Times New Roman"/>
          <w:bCs/>
          <w:sz w:val="28"/>
          <w:szCs w:val="28"/>
        </w:rPr>
        <w:t>язи с антироссийскими санкциями</w:t>
      </w:r>
    </w:p>
    <w:p w:rsidR="00960E34" w:rsidRDefault="00960E34" w:rsidP="00190077">
      <w:pPr>
        <w:spacing w:after="0" w:line="288"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Инфраструктурной и технологической базой </w:t>
      </w:r>
      <w:proofErr w:type="spellStart"/>
      <w:r>
        <w:rPr>
          <w:rFonts w:ascii="Times New Roman" w:hAnsi="Times New Roman" w:cs="Times New Roman"/>
          <w:bCs/>
          <w:sz w:val="28"/>
          <w:szCs w:val="28"/>
        </w:rPr>
        <w:t>цифровизации</w:t>
      </w:r>
      <w:proofErr w:type="spellEnd"/>
      <w:r>
        <w:rPr>
          <w:rFonts w:ascii="Times New Roman" w:hAnsi="Times New Roman" w:cs="Times New Roman"/>
          <w:bCs/>
          <w:sz w:val="28"/>
          <w:szCs w:val="28"/>
        </w:rPr>
        <w:t xml:space="preserve">  бизнеса являются информационно-коммуникационные технологии, уровень развития и специфика функционирования которых во многом определяет, каким образом может осуществляться</w:t>
      </w:r>
      <w:r w:rsidR="00F04EB0">
        <w:rPr>
          <w:rFonts w:ascii="Times New Roman" w:hAnsi="Times New Roman" w:cs="Times New Roman"/>
          <w:bCs/>
          <w:sz w:val="28"/>
          <w:szCs w:val="28"/>
        </w:rPr>
        <w:t xml:space="preserve"> поддержка </w:t>
      </w:r>
      <w:proofErr w:type="spellStart"/>
      <w:r w:rsidR="00F04EB0">
        <w:rPr>
          <w:rFonts w:ascii="Times New Roman" w:hAnsi="Times New Roman" w:cs="Times New Roman"/>
          <w:bCs/>
          <w:sz w:val="28"/>
          <w:szCs w:val="28"/>
        </w:rPr>
        <w:t>цифровизации</w:t>
      </w:r>
      <w:proofErr w:type="spellEnd"/>
      <w:r w:rsidR="00F04EB0">
        <w:rPr>
          <w:rFonts w:ascii="Times New Roman" w:hAnsi="Times New Roman" w:cs="Times New Roman"/>
          <w:bCs/>
          <w:sz w:val="28"/>
          <w:szCs w:val="28"/>
        </w:rPr>
        <w:t xml:space="preserve"> субъектов малого и среднего бизнеса (далее – МСП). То есть, требуется создание соответствующего правового поля, а также разработка и реализация системы мер финансовой и нефинансовой поддержки. </w:t>
      </w:r>
    </w:p>
    <w:p w:rsidR="00F04EB0" w:rsidRDefault="00F04EB0" w:rsidP="00190077">
      <w:pPr>
        <w:spacing w:after="0" w:line="288"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Ключевым элементом системы правовой поддержки </w:t>
      </w:r>
      <w:proofErr w:type="spellStart"/>
      <w:r>
        <w:rPr>
          <w:rFonts w:ascii="Times New Roman" w:hAnsi="Times New Roman" w:cs="Times New Roman"/>
          <w:bCs/>
          <w:sz w:val="28"/>
          <w:szCs w:val="28"/>
        </w:rPr>
        <w:t>цифровизации</w:t>
      </w:r>
      <w:proofErr w:type="spellEnd"/>
      <w:r>
        <w:rPr>
          <w:rFonts w:ascii="Times New Roman" w:hAnsi="Times New Roman" w:cs="Times New Roman"/>
          <w:bCs/>
          <w:sz w:val="28"/>
          <w:szCs w:val="28"/>
        </w:rPr>
        <w:t xml:space="preserve"> субъектов МСП является программа «Цифровая экономика России» (утверждена </w:t>
      </w:r>
      <w:r w:rsidRPr="00FB6B80">
        <w:rPr>
          <w:rFonts w:ascii="Times New Roman" w:hAnsi="Times New Roman" w:cs="Times New Roman"/>
          <w:sz w:val="28"/>
          <w:szCs w:val="28"/>
        </w:rPr>
        <w:t>Распоряжение Правительства РФ от 28 июля 2017 г. №1632-р</w:t>
      </w:r>
      <w:r>
        <w:rPr>
          <w:rFonts w:ascii="Times New Roman" w:hAnsi="Times New Roman" w:cs="Times New Roman"/>
          <w:sz w:val="28"/>
          <w:szCs w:val="28"/>
        </w:rPr>
        <w:t xml:space="preserve"> </w:t>
      </w:r>
      <w:r w:rsidRPr="00F04EB0">
        <w:rPr>
          <w:rFonts w:ascii="Times New Roman" w:hAnsi="Times New Roman" w:cs="Times New Roman"/>
          <w:sz w:val="28"/>
          <w:szCs w:val="28"/>
        </w:rPr>
        <w:t>[</w:t>
      </w:r>
      <w:r>
        <w:rPr>
          <w:rFonts w:ascii="Times New Roman" w:hAnsi="Times New Roman" w:cs="Times New Roman"/>
          <w:sz w:val="28"/>
          <w:szCs w:val="28"/>
        </w:rPr>
        <w:t>1</w:t>
      </w:r>
      <w:r w:rsidRPr="00F04EB0">
        <w:rPr>
          <w:rFonts w:ascii="Times New Roman" w:hAnsi="Times New Roman" w:cs="Times New Roman"/>
          <w:sz w:val="28"/>
          <w:szCs w:val="28"/>
        </w:rPr>
        <w:t>]</w:t>
      </w:r>
      <w:r>
        <w:rPr>
          <w:rFonts w:ascii="Times New Roman" w:hAnsi="Times New Roman" w:cs="Times New Roman"/>
          <w:sz w:val="28"/>
          <w:szCs w:val="28"/>
        </w:rPr>
        <w:t xml:space="preserve">), которая соответствует </w:t>
      </w:r>
      <w:r w:rsidRPr="00FB6B80">
        <w:rPr>
          <w:rFonts w:ascii="Times New Roman" w:hAnsi="Times New Roman" w:cs="Times New Roman"/>
          <w:sz w:val="28"/>
          <w:szCs w:val="28"/>
        </w:rPr>
        <w:t xml:space="preserve">Стратегии развития информационного общества в Российской </w:t>
      </w:r>
      <w:r>
        <w:rPr>
          <w:rFonts w:ascii="Times New Roman" w:hAnsi="Times New Roman" w:cs="Times New Roman"/>
          <w:sz w:val="28"/>
          <w:szCs w:val="28"/>
        </w:rPr>
        <w:t xml:space="preserve">Федерации на 2017–2030 годы (утверждена </w:t>
      </w:r>
      <w:r w:rsidRPr="00FB6B80">
        <w:rPr>
          <w:rFonts w:ascii="Times New Roman" w:hAnsi="Times New Roman" w:cs="Times New Roman"/>
          <w:sz w:val="28"/>
          <w:szCs w:val="28"/>
        </w:rPr>
        <w:t>Указ</w:t>
      </w:r>
      <w:r>
        <w:rPr>
          <w:rFonts w:ascii="Times New Roman" w:hAnsi="Times New Roman" w:cs="Times New Roman"/>
          <w:sz w:val="28"/>
          <w:szCs w:val="28"/>
        </w:rPr>
        <w:t>ом</w:t>
      </w:r>
      <w:r w:rsidRPr="00FB6B80">
        <w:rPr>
          <w:rFonts w:ascii="Times New Roman" w:hAnsi="Times New Roman" w:cs="Times New Roman"/>
          <w:sz w:val="28"/>
          <w:szCs w:val="28"/>
        </w:rPr>
        <w:t xml:space="preserve"> Президента Российской Федерации от 09.05.2017 № 203</w:t>
      </w:r>
      <w:r w:rsidRPr="00F04EB0">
        <w:rPr>
          <w:rFonts w:ascii="Times New Roman" w:hAnsi="Times New Roman" w:cs="Times New Roman"/>
          <w:sz w:val="28"/>
          <w:szCs w:val="28"/>
        </w:rPr>
        <w:t xml:space="preserve"> [</w:t>
      </w:r>
      <w:r>
        <w:rPr>
          <w:rFonts w:ascii="Times New Roman" w:hAnsi="Times New Roman" w:cs="Times New Roman"/>
          <w:sz w:val="28"/>
          <w:szCs w:val="28"/>
        </w:rPr>
        <w:t>2</w:t>
      </w:r>
      <w:r w:rsidRPr="00F04EB0">
        <w:rPr>
          <w:rFonts w:ascii="Times New Roman" w:hAnsi="Times New Roman" w:cs="Times New Roman"/>
          <w:sz w:val="28"/>
          <w:szCs w:val="28"/>
        </w:rPr>
        <w:t>]</w:t>
      </w:r>
      <w:r>
        <w:rPr>
          <w:rFonts w:ascii="Times New Roman" w:hAnsi="Times New Roman" w:cs="Times New Roman"/>
          <w:sz w:val="28"/>
          <w:szCs w:val="28"/>
        </w:rPr>
        <w:t>).</w:t>
      </w:r>
    </w:p>
    <w:p w:rsidR="00F536B2" w:rsidRDefault="00F04EB0" w:rsidP="00190077">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частности, предусмотрен механизм реализации экспериментального правового режима на период разработки и апробации инновационных цифровых продуктов и услуг.</w:t>
      </w:r>
      <w:r w:rsidR="00F536B2">
        <w:rPr>
          <w:rFonts w:ascii="Times New Roman" w:hAnsi="Times New Roman" w:cs="Times New Roman"/>
          <w:sz w:val="28"/>
          <w:szCs w:val="28"/>
        </w:rPr>
        <w:t xml:space="preserve"> В них включены различные виды дистанционного оказания услуг, в том числе дистанционное образование, телемедицина, электронные портфолио обучающихся, электронные амбулаторные карты пациентов, большие данные, биометрические системы и т.д.</w:t>
      </w:r>
      <w:r>
        <w:rPr>
          <w:rFonts w:ascii="Times New Roman" w:hAnsi="Times New Roman" w:cs="Times New Roman"/>
          <w:sz w:val="28"/>
          <w:szCs w:val="28"/>
        </w:rPr>
        <w:t xml:space="preserve"> </w:t>
      </w:r>
    </w:p>
    <w:p w:rsidR="000A63DF" w:rsidRDefault="00F04EB0" w:rsidP="00190077">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Такое специфическое правовое поле</w:t>
      </w:r>
      <w:r w:rsidR="00F536B2">
        <w:rPr>
          <w:rFonts w:ascii="Times New Roman" w:hAnsi="Times New Roman" w:cs="Times New Roman"/>
          <w:sz w:val="28"/>
          <w:szCs w:val="28"/>
        </w:rPr>
        <w:t>, в рамках которого может осуществляться безопасная апробация новых цифровых технологий,</w:t>
      </w:r>
      <w:r>
        <w:rPr>
          <w:rFonts w:ascii="Times New Roman" w:hAnsi="Times New Roman" w:cs="Times New Roman"/>
          <w:sz w:val="28"/>
          <w:szCs w:val="28"/>
        </w:rPr>
        <w:t xml:space="preserve"> в международной практике получило название «регуляторная песочница». Этот особый режим позволяет избежать рисков нарушений законодательства в пределах круга разработчиков и участников эксперимента. </w:t>
      </w:r>
    </w:p>
    <w:p w:rsidR="00F04EB0" w:rsidRDefault="00F04EB0" w:rsidP="00190077">
      <w:pPr>
        <w:spacing w:after="0" w:line="288"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Даже на мировом уровне опыт использования «регуляторных песочниц» не насчитывает еще и десятка лет, а для России  - это абсолютная инновация, которая может быть реализована в отдельных экономических </w:t>
      </w:r>
      <w:r>
        <w:rPr>
          <w:rFonts w:ascii="Times New Roman" w:hAnsi="Times New Roman" w:cs="Times New Roman"/>
          <w:sz w:val="28"/>
          <w:szCs w:val="28"/>
        </w:rPr>
        <w:lastRenderedPageBreak/>
        <w:t>сферах</w:t>
      </w:r>
      <w:r w:rsidR="00AD470C">
        <w:rPr>
          <w:rFonts w:ascii="Times New Roman" w:hAnsi="Times New Roman" w:cs="Times New Roman"/>
          <w:sz w:val="28"/>
          <w:szCs w:val="28"/>
        </w:rPr>
        <w:t>, число которых первоначально ограничивалось семью, но впоследствии было расширено до 10</w:t>
      </w:r>
      <w:r>
        <w:rPr>
          <w:rFonts w:ascii="Times New Roman" w:hAnsi="Times New Roman" w:cs="Times New Roman"/>
          <w:sz w:val="28"/>
          <w:szCs w:val="28"/>
        </w:rPr>
        <w:t xml:space="preserve"> (в том числе в образовании, строительстве, медицине, торговле и транспорте – отраслях, где число субъектов МСП значительно).</w:t>
      </w:r>
      <w:proofErr w:type="gramEnd"/>
      <w:r>
        <w:rPr>
          <w:rFonts w:ascii="Times New Roman" w:hAnsi="Times New Roman" w:cs="Times New Roman"/>
          <w:sz w:val="28"/>
          <w:szCs w:val="28"/>
        </w:rPr>
        <w:t xml:space="preserve"> Также благоприятными условиями для участия в «регуляторных песочницах» является возможность субъектов МСП входить в такие проекты на правах разработчиков в составе рабочих конгломератов с крупными представителями </w:t>
      </w:r>
      <w:proofErr w:type="spellStart"/>
      <w:r>
        <w:rPr>
          <w:rFonts w:ascii="Times New Roman" w:hAnsi="Times New Roman" w:cs="Times New Roman"/>
          <w:sz w:val="28"/>
          <w:szCs w:val="28"/>
        </w:rPr>
        <w:t>инновационно-инфраструктурной</w:t>
      </w:r>
      <w:proofErr w:type="spellEnd"/>
      <w:r>
        <w:rPr>
          <w:rFonts w:ascii="Times New Roman" w:hAnsi="Times New Roman" w:cs="Times New Roman"/>
          <w:sz w:val="28"/>
          <w:szCs w:val="28"/>
        </w:rPr>
        <w:t xml:space="preserve"> сферы – например, во взаимодействии со «</w:t>
      </w:r>
      <w:proofErr w:type="spellStart"/>
      <w:r>
        <w:rPr>
          <w:rFonts w:ascii="Times New Roman" w:hAnsi="Times New Roman" w:cs="Times New Roman"/>
          <w:sz w:val="28"/>
          <w:szCs w:val="28"/>
        </w:rPr>
        <w:t>Сколково</w:t>
      </w:r>
      <w:proofErr w:type="spellEnd"/>
      <w:r>
        <w:rPr>
          <w:rFonts w:ascii="Times New Roman" w:hAnsi="Times New Roman" w:cs="Times New Roman"/>
          <w:sz w:val="28"/>
          <w:szCs w:val="28"/>
        </w:rPr>
        <w:t>».</w:t>
      </w:r>
      <w:r w:rsidR="00C4594D">
        <w:rPr>
          <w:rFonts w:ascii="Times New Roman" w:hAnsi="Times New Roman" w:cs="Times New Roman"/>
          <w:sz w:val="28"/>
          <w:szCs w:val="28"/>
        </w:rPr>
        <w:t xml:space="preserve"> </w:t>
      </w:r>
    </w:p>
    <w:p w:rsidR="00F04EB0" w:rsidRDefault="00964F5D" w:rsidP="00190077">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w:t>
      </w:r>
      <w:r w:rsidRPr="00964F5D">
        <w:rPr>
          <w:rFonts w:ascii="Times New Roman" w:hAnsi="Times New Roman" w:cs="Times New Roman"/>
          <w:sz w:val="28"/>
          <w:szCs w:val="28"/>
        </w:rPr>
        <w:t>едеральны</w:t>
      </w:r>
      <w:r>
        <w:rPr>
          <w:rFonts w:ascii="Times New Roman" w:hAnsi="Times New Roman" w:cs="Times New Roman"/>
          <w:sz w:val="28"/>
          <w:szCs w:val="28"/>
        </w:rPr>
        <w:t>м</w:t>
      </w:r>
      <w:r w:rsidRPr="00964F5D">
        <w:rPr>
          <w:rFonts w:ascii="Times New Roman" w:hAnsi="Times New Roman" w:cs="Times New Roman"/>
          <w:sz w:val="28"/>
          <w:szCs w:val="28"/>
        </w:rPr>
        <w:t xml:space="preserve"> закон</w:t>
      </w:r>
      <w:r>
        <w:rPr>
          <w:rFonts w:ascii="Times New Roman" w:hAnsi="Times New Roman" w:cs="Times New Roman"/>
          <w:sz w:val="28"/>
          <w:szCs w:val="28"/>
        </w:rPr>
        <w:t>ом от 31.07.2020</w:t>
      </w:r>
      <w:r w:rsidRPr="00964F5D">
        <w:rPr>
          <w:rFonts w:ascii="Times New Roman" w:hAnsi="Times New Roman" w:cs="Times New Roman"/>
          <w:sz w:val="28"/>
          <w:szCs w:val="28"/>
        </w:rPr>
        <w:t xml:space="preserve"> № 14-ФЗ «Об экспериментальных правовых режимах в сфере цифровых инноваций в Российской Федерации»</w:t>
      </w:r>
      <w:r w:rsidR="003C34A3">
        <w:rPr>
          <w:rFonts w:ascii="Times New Roman" w:hAnsi="Times New Roman" w:cs="Times New Roman"/>
          <w:sz w:val="28"/>
          <w:szCs w:val="28"/>
        </w:rPr>
        <w:t xml:space="preserve"> </w:t>
      </w:r>
      <w:r w:rsidR="003C34A3" w:rsidRPr="003C34A3">
        <w:rPr>
          <w:rFonts w:ascii="Times New Roman" w:hAnsi="Times New Roman" w:cs="Times New Roman"/>
          <w:sz w:val="28"/>
          <w:szCs w:val="28"/>
        </w:rPr>
        <w:t>[</w:t>
      </w:r>
      <w:r w:rsidR="003C34A3">
        <w:rPr>
          <w:rFonts w:ascii="Times New Roman" w:hAnsi="Times New Roman" w:cs="Times New Roman"/>
          <w:sz w:val="28"/>
          <w:szCs w:val="28"/>
        </w:rPr>
        <w:t>3</w:t>
      </w:r>
      <w:r w:rsidR="003C34A3" w:rsidRPr="003C34A3">
        <w:rPr>
          <w:rFonts w:ascii="Times New Roman" w:hAnsi="Times New Roman" w:cs="Times New Roman"/>
          <w:sz w:val="28"/>
          <w:szCs w:val="28"/>
        </w:rPr>
        <w:t>]</w:t>
      </w:r>
      <w:r w:rsidR="003C34A3">
        <w:rPr>
          <w:rFonts w:ascii="Times New Roman" w:hAnsi="Times New Roman" w:cs="Times New Roman"/>
          <w:sz w:val="28"/>
          <w:szCs w:val="28"/>
        </w:rPr>
        <w:t xml:space="preserve"> (далее – закон об ЭПР)</w:t>
      </w:r>
      <w:r w:rsidRPr="00964F5D">
        <w:rPr>
          <w:rFonts w:ascii="Times New Roman" w:hAnsi="Times New Roman" w:cs="Times New Roman"/>
          <w:sz w:val="28"/>
          <w:szCs w:val="28"/>
        </w:rPr>
        <w:t xml:space="preserve"> </w:t>
      </w:r>
      <w:r>
        <w:rPr>
          <w:rFonts w:ascii="Times New Roman" w:hAnsi="Times New Roman" w:cs="Times New Roman"/>
          <w:sz w:val="28"/>
          <w:szCs w:val="28"/>
        </w:rPr>
        <w:t>возможность работать в режиме «правовой песочницы» стала официально доступна только с 28 января 2021 года</w:t>
      </w:r>
      <w:r w:rsidR="003C34A3">
        <w:rPr>
          <w:rFonts w:ascii="Times New Roman" w:hAnsi="Times New Roman" w:cs="Times New Roman"/>
          <w:sz w:val="28"/>
          <w:szCs w:val="28"/>
        </w:rPr>
        <w:t xml:space="preserve">. Ранее в России работала только одна такая площадка </w:t>
      </w:r>
      <w:r w:rsidR="003C34A3" w:rsidRPr="003C34A3">
        <w:rPr>
          <w:rFonts w:ascii="Times New Roman" w:hAnsi="Times New Roman" w:cs="Times New Roman"/>
          <w:sz w:val="28"/>
          <w:szCs w:val="28"/>
        </w:rPr>
        <w:t xml:space="preserve">в сфере внедрения технологий искусственного интеллекта на территории Москвы. </w:t>
      </w:r>
      <w:proofErr w:type="gramStart"/>
      <w:r w:rsidR="003C34A3" w:rsidRPr="003C34A3">
        <w:rPr>
          <w:rFonts w:ascii="Times New Roman" w:hAnsi="Times New Roman" w:cs="Times New Roman"/>
          <w:sz w:val="28"/>
          <w:szCs w:val="28"/>
        </w:rPr>
        <w:t>Для этой «песочницы» был принят отдельный нормативно-правовой акт - Федеральный закон от 24.04.2020 №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w:t>
      </w:r>
      <w:r w:rsidR="003C34A3">
        <w:rPr>
          <w:rFonts w:ascii="Times New Roman" w:hAnsi="Times New Roman" w:cs="Times New Roman"/>
          <w:sz w:val="28"/>
          <w:szCs w:val="28"/>
        </w:rPr>
        <w:t xml:space="preserve"> </w:t>
      </w:r>
      <w:r w:rsidR="003C34A3" w:rsidRPr="003C34A3">
        <w:rPr>
          <w:rFonts w:ascii="Times New Roman" w:hAnsi="Times New Roman" w:cs="Times New Roman"/>
          <w:sz w:val="28"/>
          <w:szCs w:val="28"/>
        </w:rPr>
        <w:t>[</w:t>
      </w:r>
      <w:r w:rsidR="003C34A3">
        <w:rPr>
          <w:rFonts w:ascii="Times New Roman" w:hAnsi="Times New Roman" w:cs="Times New Roman"/>
          <w:sz w:val="28"/>
          <w:szCs w:val="28"/>
        </w:rPr>
        <w:t>4</w:t>
      </w:r>
      <w:r w:rsidR="003C34A3" w:rsidRPr="003C34A3">
        <w:rPr>
          <w:rFonts w:ascii="Times New Roman" w:hAnsi="Times New Roman" w:cs="Times New Roman"/>
          <w:sz w:val="28"/>
          <w:szCs w:val="28"/>
        </w:rPr>
        <w:t>]</w:t>
      </w:r>
      <w:r w:rsidR="003C34A3">
        <w:rPr>
          <w:rFonts w:ascii="Times New Roman" w:hAnsi="Times New Roman" w:cs="Times New Roman"/>
          <w:sz w:val="28"/>
          <w:szCs w:val="28"/>
        </w:rPr>
        <w:t>.</w:t>
      </w:r>
      <w:proofErr w:type="gramEnd"/>
      <w:r w:rsidR="003C34A3">
        <w:rPr>
          <w:rFonts w:ascii="Times New Roman" w:hAnsi="Times New Roman" w:cs="Times New Roman"/>
          <w:sz w:val="28"/>
          <w:szCs w:val="28"/>
        </w:rPr>
        <w:t xml:space="preserve"> Очевидно, что до принятия и вступления в силу закона об ЭПР </w:t>
      </w:r>
      <w:proofErr w:type="gramStart"/>
      <w:r w:rsidR="003C34A3">
        <w:rPr>
          <w:rFonts w:ascii="Times New Roman" w:hAnsi="Times New Roman" w:cs="Times New Roman"/>
          <w:sz w:val="28"/>
          <w:szCs w:val="28"/>
        </w:rPr>
        <w:t>говорить</w:t>
      </w:r>
      <w:proofErr w:type="gramEnd"/>
      <w:r w:rsidR="003C34A3">
        <w:rPr>
          <w:rFonts w:ascii="Times New Roman" w:hAnsi="Times New Roman" w:cs="Times New Roman"/>
          <w:sz w:val="28"/>
          <w:szCs w:val="28"/>
        </w:rPr>
        <w:t xml:space="preserve"> о расширении практики подобной формы поддержки цифровой трансформации субъектов МСП не приходилось.</w:t>
      </w:r>
      <w:r w:rsidR="009F0378">
        <w:rPr>
          <w:rFonts w:ascii="Times New Roman" w:hAnsi="Times New Roman" w:cs="Times New Roman"/>
          <w:sz w:val="28"/>
          <w:szCs w:val="28"/>
        </w:rPr>
        <w:t xml:space="preserve"> Следует ожидать, что «регуляторные песочницы» появятся и в регионах, поскольку законодательство разрешает принятие решение о реализации таких проектов на местном уровне. Однако, обобщенной статистики относительно локализации и численности «цифровых песочниц» в настоящее время в открытых источниках не опубликовано. </w:t>
      </w:r>
    </w:p>
    <w:p w:rsidR="00E92E23" w:rsidRDefault="00122E16" w:rsidP="00190077">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Также следует отметить, что, в отличи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от периода до принятия закона об ЭПР, когда наблюдалась значительная диспропорция относительно распределения форм финансовой и нефинансовой поддержки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между органами власти и различными отраслевыми организациями (например, АО «Особые экономические зоны», Российским экспортным центром и т.д.), на что справедливо указывали Е.А. Панфилова и С.Н. Комаров </w:t>
      </w:r>
      <w:r w:rsidRPr="00122E16">
        <w:rPr>
          <w:rFonts w:ascii="Times New Roman" w:hAnsi="Times New Roman" w:cs="Times New Roman"/>
          <w:sz w:val="28"/>
          <w:szCs w:val="28"/>
        </w:rPr>
        <w:t>[</w:t>
      </w:r>
      <w:r>
        <w:rPr>
          <w:rFonts w:ascii="Times New Roman" w:hAnsi="Times New Roman" w:cs="Times New Roman"/>
          <w:sz w:val="28"/>
          <w:szCs w:val="28"/>
        </w:rPr>
        <w:t>5</w:t>
      </w:r>
      <w:r w:rsidRPr="00122E16">
        <w:rPr>
          <w:rFonts w:ascii="Times New Roman" w:hAnsi="Times New Roman" w:cs="Times New Roman"/>
          <w:sz w:val="28"/>
          <w:szCs w:val="28"/>
        </w:rPr>
        <w:t>]</w:t>
      </w:r>
      <w:r>
        <w:rPr>
          <w:rFonts w:ascii="Times New Roman" w:hAnsi="Times New Roman" w:cs="Times New Roman"/>
          <w:sz w:val="28"/>
          <w:szCs w:val="28"/>
        </w:rPr>
        <w:t>, сейчас ситуация в корне меняется.</w:t>
      </w:r>
      <w:r w:rsidR="001A2E76">
        <w:rPr>
          <w:rFonts w:ascii="Times New Roman" w:hAnsi="Times New Roman" w:cs="Times New Roman"/>
          <w:sz w:val="28"/>
          <w:szCs w:val="28"/>
        </w:rPr>
        <w:t xml:space="preserve"> </w:t>
      </w:r>
      <w:r w:rsidR="00E92E23">
        <w:rPr>
          <w:rFonts w:ascii="Times New Roman" w:hAnsi="Times New Roman" w:cs="Times New Roman"/>
          <w:sz w:val="28"/>
          <w:szCs w:val="28"/>
        </w:rPr>
        <w:t xml:space="preserve">В 2021 году разработаны региональные стратегии цифровой трансформации, в которых предусмотрено </w:t>
      </w:r>
      <w:r w:rsidR="00E92E23">
        <w:rPr>
          <w:rFonts w:ascii="Times New Roman" w:hAnsi="Times New Roman" w:cs="Times New Roman"/>
          <w:sz w:val="28"/>
          <w:szCs w:val="28"/>
        </w:rPr>
        <w:lastRenderedPageBreak/>
        <w:t xml:space="preserve">внедрение новых технологий в расширенном количестве отраслей (по сравнению с федеральным перечнем). </w:t>
      </w:r>
    </w:p>
    <w:p w:rsidR="00E92E23" w:rsidRDefault="00E92E23" w:rsidP="00190077">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Применительно к субъектам МСП региональные власти предусмотрели реализацию цифровых проектов в нишах предпринимательства, в которых практически нет крупных игроков. А это означает прямое и непосредственное содействие цифровой трансформации субъектов МСП в целях их поддержки и адаптации к современной реальности с учетом всех сложностей – инфраструктурных, экономических, политических, социальных. </w:t>
      </w:r>
      <w:r w:rsidR="00D839F6">
        <w:rPr>
          <w:rFonts w:ascii="Times New Roman" w:hAnsi="Times New Roman" w:cs="Times New Roman"/>
          <w:sz w:val="28"/>
          <w:szCs w:val="28"/>
        </w:rPr>
        <w:t>Вот несколько наглядных примеров.</w:t>
      </w:r>
    </w:p>
    <w:p w:rsidR="00D839F6" w:rsidRDefault="00D839F6" w:rsidP="00190077">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Республике Татарстан планируется </w:t>
      </w:r>
      <w:r w:rsidRPr="00D839F6">
        <w:rPr>
          <w:rFonts w:ascii="Times New Roman" w:hAnsi="Times New Roman" w:cs="Times New Roman"/>
          <w:sz w:val="28"/>
          <w:szCs w:val="28"/>
        </w:rPr>
        <w:t xml:space="preserve">создание единой CRM системы для инфраструктуры поддержки субъектов МСП. В сфере сельского хозяйства будет внедрена система уведомления пчеловодов и единая </w:t>
      </w:r>
      <w:proofErr w:type="spellStart"/>
      <w:r w:rsidRPr="00D839F6">
        <w:rPr>
          <w:rFonts w:ascii="Times New Roman" w:hAnsi="Times New Roman" w:cs="Times New Roman"/>
          <w:sz w:val="28"/>
          <w:szCs w:val="28"/>
        </w:rPr>
        <w:t>идентифиация</w:t>
      </w:r>
      <w:proofErr w:type="spellEnd"/>
      <w:r w:rsidRPr="00D839F6">
        <w:rPr>
          <w:rFonts w:ascii="Times New Roman" w:hAnsi="Times New Roman" w:cs="Times New Roman"/>
          <w:sz w:val="28"/>
          <w:szCs w:val="28"/>
        </w:rPr>
        <w:t xml:space="preserve"> крупного рогатого скота на фермерских хозяйствах</w:t>
      </w:r>
      <w:r w:rsidR="00E47AD8">
        <w:rPr>
          <w:rFonts w:ascii="Times New Roman" w:hAnsi="Times New Roman" w:cs="Times New Roman"/>
          <w:sz w:val="28"/>
          <w:szCs w:val="28"/>
        </w:rPr>
        <w:t xml:space="preserve"> </w:t>
      </w:r>
      <w:r w:rsidR="00E47AD8" w:rsidRPr="00E47AD8">
        <w:rPr>
          <w:rFonts w:ascii="Times New Roman" w:hAnsi="Times New Roman" w:cs="Times New Roman"/>
          <w:sz w:val="28"/>
          <w:szCs w:val="28"/>
        </w:rPr>
        <w:t>[</w:t>
      </w:r>
      <w:r w:rsidR="00537894">
        <w:rPr>
          <w:rFonts w:ascii="Times New Roman" w:hAnsi="Times New Roman" w:cs="Times New Roman"/>
          <w:sz w:val="28"/>
          <w:szCs w:val="28"/>
        </w:rPr>
        <w:t>6</w:t>
      </w:r>
      <w:r w:rsidR="00E47AD8" w:rsidRPr="00E47AD8">
        <w:rPr>
          <w:rFonts w:ascii="Times New Roman" w:hAnsi="Times New Roman" w:cs="Times New Roman"/>
          <w:sz w:val="28"/>
          <w:szCs w:val="28"/>
        </w:rPr>
        <w:t>]</w:t>
      </w:r>
      <w:r w:rsidRPr="00D839F6">
        <w:rPr>
          <w:rFonts w:ascii="Times New Roman" w:hAnsi="Times New Roman" w:cs="Times New Roman"/>
          <w:sz w:val="28"/>
          <w:szCs w:val="28"/>
        </w:rPr>
        <w:t>.</w:t>
      </w:r>
    </w:p>
    <w:p w:rsidR="00E56F68" w:rsidRDefault="00E56F68" w:rsidP="00190077">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планируется реализация проекта в сфере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фермерских хозяйств и в республике Алтай</w:t>
      </w:r>
      <w:r w:rsidRPr="00E56F68">
        <w:rPr>
          <w:rFonts w:ascii="Times New Roman" w:hAnsi="Times New Roman" w:cs="Times New Roman"/>
          <w:sz w:val="28"/>
          <w:szCs w:val="28"/>
        </w:rPr>
        <w:t xml:space="preserve"> [</w:t>
      </w:r>
      <w:r w:rsidR="00537894">
        <w:rPr>
          <w:rFonts w:ascii="Times New Roman" w:hAnsi="Times New Roman" w:cs="Times New Roman"/>
          <w:sz w:val="28"/>
          <w:szCs w:val="28"/>
        </w:rPr>
        <w:t>6</w:t>
      </w:r>
      <w:r w:rsidRPr="00E56F68">
        <w:rPr>
          <w:rFonts w:ascii="Times New Roman" w:hAnsi="Times New Roman" w:cs="Times New Roman"/>
          <w:sz w:val="28"/>
          <w:szCs w:val="28"/>
        </w:rPr>
        <w:t>]</w:t>
      </w:r>
      <w:r>
        <w:rPr>
          <w:rFonts w:ascii="Times New Roman" w:hAnsi="Times New Roman" w:cs="Times New Roman"/>
          <w:sz w:val="28"/>
          <w:szCs w:val="28"/>
        </w:rPr>
        <w:t xml:space="preserve">. Однако, степень конкретизации проекта «Моя цифровая ферма» в стратегии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этого региона недостаточна, идея не выглядит достаточно проработанной. </w:t>
      </w:r>
    </w:p>
    <w:p w:rsidR="004B2C1D" w:rsidRDefault="004B2C1D" w:rsidP="00190077">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Интересен проект, который планируется реализовать в Курганской области. Намечено </w:t>
      </w:r>
      <w:r w:rsidR="00242F93">
        <w:rPr>
          <w:rFonts w:ascii="Times New Roman" w:hAnsi="Times New Roman" w:cs="Times New Roman"/>
          <w:sz w:val="28"/>
          <w:szCs w:val="28"/>
        </w:rPr>
        <w:t>участие в федеральной инициатив</w:t>
      </w:r>
      <w:r>
        <w:rPr>
          <w:rFonts w:ascii="Times New Roman" w:hAnsi="Times New Roman" w:cs="Times New Roman"/>
          <w:sz w:val="28"/>
          <w:szCs w:val="28"/>
        </w:rPr>
        <w:t>е «</w:t>
      </w:r>
      <w:proofErr w:type="spellStart"/>
      <w:r>
        <w:rPr>
          <w:rFonts w:ascii="Times New Roman" w:hAnsi="Times New Roman" w:cs="Times New Roman"/>
          <w:sz w:val="28"/>
          <w:szCs w:val="28"/>
        </w:rPr>
        <w:t>Беспилотники</w:t>
      </w:r>
      <w:proofErr w:type="spellEnd"/>
      <w:r>
        <w:rPr>
          <w:rFonts w:ascii="Times New Roman" w:hAnsi="Times New Roman" w:cs="Times New Roman"/>
          <w:sz w:val="28"/>
          <w:szCs w:val="28"/>
        </w:rPr>
        <w:t xml:space="preserve"> для пассажиров и грузов», в результате к 2024 году должна быть внедрена единая транспортная система, к которой будут подключены и отраслевые субъекты МСП.</w:t>
      </w:r>
      <w:r w:rsidR="004F5F4C">
        <w:rPr>
          <w:rFonts w:ascii="Times New Roman" w:hAnsi="Times New Roman" w:cs="Times New Roman"/>
          <w:sz w:val="28"/>
          <w:szCs w:val="28"/>
        </w:rPr>
        <w:t xml:space="preserve"> Этот регион – единственный в России, где планируется </w:t>
      </w:r>
      <w:proofErr w:type="spellStart"/>
      <w:r w:rsidR="004F5F4C">
        <w:rPr>
          <w:rFonts w:ascii="Times New Roman" w:hAnsi="Times New Roman" w:cs="Times New Roman"/>
          <w:sz w:val="28"/>
          <w:szCs w:val="28"/>
        </w:rPr>
        <w:t>цифровизация</w:t>
      </w:r>
      <w:proofErr w:type="spellEnd"/>
      <w:r w:rsidR="004F5F4C">
        <w:rPr>
          <w:rFonts w:ascii="Times New Roman" w:hAnsi="Times New Roman" w:cs="Times New Roman"/>
          <w:sz w:val="28"/>
          <w:szCs w:val="28"/>
        </w:rPr>
        <w:t xml:space="preserve"> торговли через развитие цифровых платформ, в том числе </w:t>
      </w:r>
      <w:proofErr w:type="spellStart"/>
      <w:r w:rsidR="004F5F4C">
        <w:rPr>
          <w:rFonts w:ascii="Times New Roman" w:hAnsi="Times New Roman" w:cs="Times New Roman"/>
          <w:sz w:val="28"/>
          <w:szCs w:val="28"/>
        </w:rPr>
        <w:t>маркетплейсов</w:t>
      </w:r>
      <w:proofErr w:type="spellEnd"/>
      <w:r w:rsidR="004F5F4C">
        <w:rPr>
          <w:rFonts w:ascii="Times New Roman" w:hAnsi="Times New Roman" w:cs="Times New Roman"/>
          <w:sz w:val="28"/>
          <w:szCs w:val="28"/>
        </w:rPr>
        <w:t xml:space="preserve"> и </w:t>
      </w:r>
      <w:proofErr w:type="spellStart"/>
      <w:r w:rsidR="004F5F4C">
        <w:rPr>
          <w:rFonts w:ascii="Times New Roman" w:hAnsi="Times New Roman" w:cs="Times New Roman"/>
          <w:sz w:val="28"/>
          <w:szCs w:val="28"/>
        </w:rPr>
        <w:t>киберфизических</w:t>
      </w:r>
      <w:proofErr w:type="spellEnd"/>
      <w:r w:rsidR="004F5F4C">
        <w:rPr>
          <w:rFonts w:ascii="Times New Roman" w:hAnsi="Times New Roman" w:cs="Times New Roman"/>
          <w:sz w:val="28"/>
          <w:szCs w:val="28"/>
        </w:rPr>
        <w:t xml:space="preserve"> систем в сфере торговли</w:t>
      </w:r>
      <w:r w:rsidR="00537894">
        <w:rPr>
          <w:rFonts w:ascii="Times New Roman" w:hAnsi="Times New Roman" w:cs="Times New Roman"/>
          <w:sz w:val="28"/>
          <w:szCs w:val="28"/>
        </w:rPr>
        <w:t xml:space="preserve"> </w:t>
      </w:r>
      <w:r w:rsidR="00537894" w:rsidRPr="00537894">
        <w:rPr>
          <w:rFonts w:ascii="Times New Roman" w:hAnsi="Times New Roman" w:cs="Times New Roman"/>
          <w:sz w:val="28"/>
          <w:szCs w:val="28"/>
        </w:rPr>
        <w:t>[</w:t>
      </w:r>
      <w:r w:rsidR="00537894">
        <w:rPr>
          <w:rFonts w:ascii="Times New Roman" w:hAnsi="Times New Roman" w:cs="Times New Roman"/>
          <w:sz w:val="28"/>
          <w:szCs w:val="28"/>
        </w:rPr>
        <w:t>6</w:t>
      </w:r>
      <w:r w:rsidR="00537894" w:rsidRPr="00537894">
        <w:rPr>
          <w:rFonts w:ascii="Times New Roman" w:hAnsi="Times New Roman" w:cs="Times New Roman"/>
          <w:sz w:val="28"/>
          <w:szCs w:val="28"/>
        </w:rPr>
        <w:t>]</w:t>
      </w:r>
      <w:r w:rsidR="004F5F4C">
        <w:rPr>
          <w:rFonts w:ascii="Times New Roman" w:hAnsi="Times New Roman" w:cs="Times New Roman"/>
          <w:sz w:val="28"/>
          <w:szCs w:val="28"/>
        </w:rPr>
        <w:t>. Это открывает широкие возможности для субъектов МСП, многие в числе которых специализируются именно на торговле</w:t>
      </w:r>
      <w:r w:rsidR="00DA7CAF">
        <w:rPr>
          <w:rFonts w:ascii="Times New Roman" w:hAnsi="Times New Roman" w:cs="Times New Roman"/>
          <w:sz w:val="28"/>
          <w:szCs w:val="28"/>
        </w:rPr>
        <w:t xml:space="preserve"> </w:t>
      </w:r>
      <w:r w:rsidR="00DA7CAF" w:rsidRPr="00DA7CAF">
        <w:rPr>
          <w:rFonts w:ascii="Times New Roman" w:hAnsi="Times New Roman" w:cs="Times New Roman"/>
          <w:sz w:val="28"/>
          <w:szCs w:val="28"/>
        </w:rPr>
        <w:t>[</w:t>
      </w:r>
      <w:r w:rsidR="00DA7CAF">
        <w:rPr>
          <w:rFonts w:ascii="Times New Roman" w:hAnsi="Times New Roman" w:cs="Times New Roman"/>
          <w:sz w:val="28"/>
          <w:szCs w:val="28"/>
        </w:rPr>
        <w:t>13, 14</w:t>
      </w:r>
      <w:r w:rsidR="00DA7CAF" w:rsidRPr="00DA7CAF">
        <w:rPr>
          <w:rFonts w:ascii="Times New Roman" w:hAnsi="Times New Roman" w:cs="Times New Roman"/>
          <w:sz w:val="28"/>
          <w:szCs w:val="28"/>
        </w:rPr>
        <w:t>]</w:t>
      </w:r>
      <w:r w:rsidR="004F5F4C">
        <w:rPr>
          <w:rFonts w:ascii="Times New Roman" w:hAnsi="Times New Roman" w:cs="Times New Roman"/>
          <w:sz w:val="28"/>
          <w:szCs w:val="28"/>
        </w:rPr>
        <w:t>.</w:t>
      </w:r>
    </w:p>
    <w:p w:rsidR="00BB37B7" w:rsidRPr="00E56F68" w:rsidRDefault="00BB37B7" w:rsidP="00190077">
      <w:pPr>
        <w:spacing w:after="0" w:line="288"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Также представляет интерес Омская область, в стратегии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которой включен проект, направленны</w:t>
      </w:r>
      <w:r w:rsidR="00644C96">
        <w:rPr>
          <w:rFonts w:ascii="Times New Roman" w:hAnsi="Times New Roman" w:cs="Times New Roman"/>
          <w:sz w:val="28"/>
          <w:szCs w:val="28"/>
        </w:rPr>
        <w:t>й</w:t>
      </w:r>
      <w:r>
        <w:rPr>
          <w:rFonts w:ascii="Times New Roman" w:hAnsi="Times New Roman" w:cs="Times New Roman"/>
          <w:sz w:val="28"/>
          <w:szCs w:val="28"/>
        </w:rPr>
        <w:t xml:space="preserve"> на развитие науки и создание центра высокопроизводительных вычислений, к которому планируется подключение различных организаций, в числе которых будут и субъекты МСП.</w:t>
      </w:r>
      <w:proofErr w:type="gramEnd"/>
    </w:p>
    <w:p w:rsidR="00E47AD8" w:rsidRDefault="00E47AD8" w:rsidP="00190077">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Санкт-Петербурге среди мер поддержки МСП, запланированных к реализации, заслуживает внимания создания единой цифровой платформы для поставщиков продуктов туристических впечатлений. На специализированном портале будут размещены сведения о городских гидах и экскурсоводах, предприятий индустрии впечатлений. В этой нише действуют преимущественно субъекты МСП</w:t>
      </w:r>
      <w:r w:rsidR="00541E18">
        <w:rPr>
          <w:rFonts w:ascii="Times New Roman" w:hAnsi="Times New Roman" w:cs="Times New Roman"/>
          <w:sz w:val="28"/>
          <w:szCs w:val="28"/>
        </w:rPr>
        <w:t xml:space="preserve"> </w:t>
      </w:r>
      <w:r w:rsidR="00541E18" w:rsidRPr="00B93CFE">
        <w:rPr>
          <w:rFonts w:ascii="Times New Roman" w:hAnsi="Times New Roman" w:cs="Times New Roman"/>
          <w:sz w:val="28"/>
          <w:szCs w:val="28"/>
        </w:rPr>
        <w:t>[</w:t>
      </w:r>
      <w:r w:rsidR="00537894">
        <w:rPr>
          <w:rFonts w:ascii="Times New Roman" w:hAnsi="Times New Roman" w:cs="Times New Roman"/>
          <w:sz w:val="28"/>
          <w:szCs w:val="28"/>
        </w:rPr>
        <w:t>6</w:t>
      </w:r>
      <w:r w:rsidR="00541E18" w:rsidRPr="00B93CFE">
        <w:rPr>
          <w:rFonts w:ascii="Times New Roman" w:hAnsi="Times New Roman" w:cs="Times New Roman"/>
          <w:sz w:val="28"/>
          <w:szCs w:val="28"/>
        </w:rPr>
        <w:t>]</w:t>
      </w:r>
      <w:r>
        <w:rPr>
          <w:rFonts w:ascii="Times New Roman" w:hAnsi="Times New Roman" w:cs="Times New Roman"/>
          <w:sz w:val="28"/>
          <w:szCs w:val="28"/>
        </w:rPr>
        <w:t>.</w:t>
      </w:r>
    </w:p>
    <w:p w:rsidR="003A7B34" w:rsidRPr="006F6B41" w:rsidRDefault="00B97809" w:rsidP="00190077">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Примером сравнительно малочисленного региона со скромным бюджетом является Калмыкия. Здесь </w:t>
      </w:r>
      <w:proofErr w:type="spellStart"/>
      <w:r>
        <w:rPr>
          <w:rFonts w:ascii="Times New Roman" w:hAnsi="Times New Roman" w:cs="Times New Roman"/>
          <w:sz w:val="28"/>
          <w:szCs w:val="28"/>
        </w:rPr>
        <w:t>цифровизация</w:t>
      </w:r>
      <w:proofErr w:type="spellEnd"/>
      <w:r>
        <w:rPr>
          <w:rFonts w:ascii="Times New Roman" w:hAnsi="Times New Roman" w:cs="Times New Roman"/>
          <w:sz w:val="28"/>
          <w:szCs w:val="28"/>
        </w:rPr>
        <w:t xml:space="preserve"> запланирована в 10 отраслях, больше всего проектов будет реализовано в сфере образования, медицины и общественного транспорта. При этом адресной помощи субъектам МСП нет. И это решение вполне обосновано – согласно данным ФНС, число субъектов МСП в Калмыкии составляет всего 209 единиц </w:t>
      </w:r>
      <w:r w:rsidRPr="00B97809">
        <w:rPr>
          <w:rFonts w:ascii="Times New Roman" w:hAnsi="Times New Roman" w:cs="Times New Roman"/>
          <w:sz w:val="28"/>
          <w:szCs w:val="28"/>
        </w:rPr>
        <w:t>[</w:t>
      </w:r>
      <w:r w:rsidR="00537894">
        <w:rPr>
          <w:rFonts w:ascii="Times New Roman" w:hAnsi="Times New Roman" w:cs="Times New Roman"/>
          <w:sz w:val="28"/>
          <w:szCs w:val="28"/>
        </w:rPr>
        <w:t>7</w:t>
      </w:r>
      <w:r w:rsidRPr="00B97809">
        <w:rPr>
          <w:rFonts w:ascii="Times New Roman" w:hAnsi="Times New Roman" w:cs="Times New Roman"/>
          <w:sz w:val="28"/>
          <w:szCs w:val="28"/>
        </w:rPr>
        <w:t>]</w:t>
      </w:r>
      <w:r w:rsidR="006F6B41">
        <w:rPr>
          <w:rFonts w:ascii="Times New Roman" w:hAnsi="Times New Roman" w:cs="Times New Roman"/>
          <w:sz w:val="28"/>
          <w:szCs w:val="28"/>
        </w:rPr>
        <w:t xml:space="preserve"> Аналогичного подхода придерживается и правительство Еврейской автономной области, численность населения которой составляет около 156 000 человек </w:t>
      </w:r>
      <w:r w:rsidR="006F6B41" w:rsidRPr="006F6B41">
        <w:rPr>
          <w:rFonts w:ascii="Times New Roman" w:hAnsi="Times New Roman" w:cs="Times New Roman"/>
          <w:sz w:val="28"/>
          <w:szCs w:val="28"/>
        </w:rPr>
        <w:t>[</w:t>
      </w:r>
      <w:r w:rsidR="00537894">
        <w:rPr>
          <w:rFonts w:ascii="Times New Roman" w:hAnsi="Times New Roman" w:cs="Times New Roman"/>
          <w:sz w:val="28"/>
          <w:szCs w:val="28"/>
        </w:rPr>
        <w:t>7</w:t>
      </w:r>
      <w:r w:rsidR="006F6B41" w:rsidRPr="006F6B41">
        <w:rPr>
          <w:rFonts w:ascii="Times New Roman" w:hAnsi="Times New Roman" w:cs="Times New Roman"/>
          <w:sz w:val="28"/>
          <w:szCs w:val="28"/>
        </w:rPr>
        <w:t>]</w:t>
      </w:r>
      <w:r w:rsidR="006F6B41">
        <w:rPr>
          <w:rFonts w:ascii="Times New Roman" w:hAnsi="Times New Roman" w:cs="Times New Roman"/>
          <w:sz w:val="28"/>
          <w:szCs w:val="28"/>
        </w:rPr>
        <w:t xml:space="preserve">. Низкий уровень развития социальной инфраструктуры, острые проблемы в сфере ЖКХ, науки и образования сместили приоритеты </w:t>
      </w:r>
      <w:proofErr w:type="spellStart"/>
      <w:r w:rsidR="006F6B41">
        <w:rPr>
          <w:rFonts w:ascii="Times New Roman" w:hAnsi="Times New Roman" w:cs="Times New Roman"/>
          <w:sz w:val="28"/>
          <w:szCs w:val="28"/>
        </w:rPr>
        <w:t>цифровизации</w:t>
      </w:r>
      <w:proofErr w:type="spellEnd"/>
      <w:r w:rsidR="006F6B41">
        <w:rPr>
          <w:rFonts w:ascii="Times New Roman" w:hAnsi="Times New Roman" w:cs="Times New Roman"/>
          <w:sz w:val="28"/>
          <w:szCs w:val="28"/>
        </w:rPr>
        <w:t xml:space="preserve"> в сторону развития этих отраслей, в которых число субъектов МСП низкое.</w:t>
      </w:r>
    </w:p>
    <w:p w:rsidR="0071335B" w:rsidRDefault="0071335B" w:rsidP="00190077">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в региональной стратегии цифровой трансформации Москвы, в которую включено 10 отраслей, практически нет мер, направленных непосредственно или преимущественно на МСП.  Предусмотренные стратегией проекты ориентированы преимущественно на сферу образования и телемедицины и являются глобальными, не учитывающими специфику деятельности малых предпринимателей. Это может быть объяснено следующими факторами:</w:t>
      </w:r>
    </w:p>
    <w:p w:rsidR="0071335B" w:rsidRPr="00F23F89" w:rsidRDefault="0071335B" w:rsidP="00F23F89">
      <w:pPr>
        <w:pStyle w:val="a5"/>
        <w:numPr>
          <w:ilvl w:val="0"/>
          <w:numId w:val="2"/>
        </w:numPr>
        <w:spacing w:after="0" w:line="288" w:lineRule="auto"/>
        <w:ind w:left="0" w:firstLine="709"/>
        <w:jc w:val="both"/>
        <w:rPr>
          <w:rFonts w:ascii="Times New Roman" w:hAnsi="Times New Roman" w:cs="Times New Roman"/>
          <w:sz w:val="28"/>
          <w:szCs w:val="28"/>
        </w:rPr>
      </w:pPr>
      <w:r w:rsidRPr="00F23F89">
        <w:rPr>
          <w:rFonts w:ascii="Times New Roman" w:hAnsi="Times New Roman" w:cs="Times New Roman"/>
          <w:sz w:val="28"/>
          <w:szCs w:val="28"/>
        </w:rPr>
        <w:t>Москва стала экспериментальной площадкой для апробации «регуляторных песочниц». С большой долей вероятности проекты, реализуемые в этой сфере, будут какое-то время локализоваться именно в Москве в силу уже полученного опыта;</w:t>
      </w:r>
    </w:p>
    <w:p w:rsidR="00D839F6" w:rsidRPr="00F23F89" w:rsidRDefault="0071335B" w:rsidP="00F23F89">
      <w:pPr>
        <w:pStyle w:val="a5"/>
        <w:numPr>
          <w:ilvl w:val="0"/>
          <w:numId w:val="2"/>
        </w:numPr>
        <w:spacing w:after="0" w:line="288" w:lineRule="auto"/>
        <w:ind w:left="0" w:firstLine="709"/>
        <w:jc w:val="both"/>
        <w:rPr>
          <w:rFonts w:ascii="Times New Roman" w:hAnsi="Times New Roman" w:cs="Times New Roman"/>
          <w:sz w:val="28"/>
          <w:szCs w:val="28"/>
        </w:rPr>
      </w:pPr>
      <w:r w:rsidRPr="00F23F89">
        <w:rPr>
          <w:rFonts w:ascii="Times New Roman" w:hAnsi="Times New Roman" w:cs="Times New Roman"/>
          <w:sz w:val="28"/>
          <w:szCs w:val="28"/>
        </w:rPr>
        <w:t xml:space="preserve">рыночная инфраструктура мегаполиса претерпела существенные структурные изменения в период </w:t>
      </w:r>
      <w:proofErr w:type="spellStart"/>
      <w:r w:rsidRPr="00F23F89">
        <w:rPr>
          <w:rFonts w:ascii="Times New Roman" w:hAnsi="Times New Roman" w:cs="Times New Roman"/>
          <w:sz w:val="28"/>
          <w:szCs w:val="28"/>
        </w:rPr>
        <w:t>противопандемийных</w:t>
      </w:r>
      <w:proofErr w:type="spellEnd"/>
      <w:r w:rsidRPr="00F23F89">
        <w:rPr>
          <w:rFonts w:ascii="Times New Roman" w:hAnsi="Times New Roman" w:cs="Times New Roman"/>
          <w:sz w:val="28"/>
          <w:szCs w:val="28"/>
        </w:rPr>
        <w:t xml:space="preserve"> мер, но </w:t>
      </w:r>
      <w:r w:rsidR="00601EE9" w:rsidRPr="00F23F89">
        <w:rPr>
          <w:rFonts w:ascii="Times New Roman" w:hAnsi="Times New Roman" w:cs="Times New Roman"/>
          <w:sz w:val="28"/>
          <w:szCs w:val="28"/>
        </w:rPr>
        <w:t>объективной</w:t>
      </w:r>
      <w:r w:rsidRPr="00F23F89">
        <w:rPr>
          <w:rFonts w:ascii="Times New Roman" w:hAnsi="Times New Roman" w:cs="Times New Roman"/>
          <w:sz w:val="28"/>
          <w:szCs w:val="28"/>
        </w:rPr>
        <w:t xml:space="preserve"> статистик</w:t>
      </w:r>
      <w:r w:rsidR="00601EE9" w:rsidRPr="00F23F89">
        <w:rPr>
          <w:rFonts w:ascii="Times New Roman" w:hAnsi="Times New Roman" w:cs="Times New Roman"/>
          <w:sz w:val="28"/>
          <w:szCs w:val="28"/>
        </w:rPr>
        <w:t>ой</w:t>
      </w:r>
      <w:r w:rsidRPr="00F23F89">
        <w:rPr>
          <w:rFonts w:ascii="Times New Roman" w:hAnsi="Times New Roman" w:cs="Times New Roman"/>
          <w:sz w:val="28"/>
          <w:szCs w:val="28"/>
        </w:rPr>
        <w:t xml:space="preserve"> относитель</w:t>
      </w:r>
      <w:r w:rsidR="00601EE9" w:rsidRPr="00F23F89">
        <w:rPr>
          <w:rFonts w:ascii="Times New Roman" w:hAnsi="Times New Roman" w:cs="Times New Roman"/>
          <w:sz w:val="28"/>
          <w:szCs w:val="28"/>
        </w:rPr>
        <w:t>но числа занятых в сфере МСП городские власти до сих пор не располагают [</w:t>
      </w:r>
      <w:r w:rsidR="00537894">
        <w:rPr>
          <w:rFonts w:ascii="Times New Roman" w:hAnsi="Times New Roman" w:cs="Times New Roman"/>
          <w:sz w:val="28"/>
          <w:szCs w:val="28"/>
        </w:rPr>
        <w:t>8</w:t>
      </w:r>
      <w:r w:rsidR="00601EE9" w:rsidRPr="00F23F89">
        <w:rPr>
          <w:rFonts w:ascii="Times New Roman" w:hAnsi="Times New Roman" w:cs="Times New Roman"/>
          <w:sz w:val="28"/>
          <w:szCs w:val="28"/>
        </w:rPr>
        <w:t>]. Отсутствие корректных данных не позволяет принимать достаточно взвешенные о обоснованные решения относ</w:t>
      </w:r>
      <w:r w:rsidR="00F23F89" w:rsidRPr="00F23F89">
        <w:rPr>
          <w:rFonts w:ascii="Times New Roman" w:hAnsi="Times New Roman" w:cs="Times New Roman"/>
          <w:sz w:val="28"/>
          <w:szCs w:val="28"/>
        </w:rPr>
        <w:t>ительно небольших предприятий;</w:t>
      </w:r>
    </w:p>
    <w:p w:rsidR="00F23F89" w:rsidRDefault="00F23F89" w:rsidP="00F23F89">
      <w:pPr>
        <w:pStyle w:val="a5"/>
        <w:numPr>
          <w:ilvl w:val="0"/>
          <w:numId w:val="2"/>
        </w:numPr>
        <w:spacing w:after="0" w:line="288" w:lineRule="auto"/>
        <w:ind w:left="0" w:firstLine="709"/>
        <w:jc w:val="both"/>
        <w:rPr>
          <w:rFonts w:ascii="Times New Roman" w:hAnsi="Times New Roman" w:cs="Times New Roman"/>
          <w:sz w:val="28"/>
          <w:szCs w:val="28"/>
        </w:rPr>
      </w:pPr>
      <w:r w:rsidRPr="00F23F89">
        <w:rPr>
          <w:rFonts w:ascii="Times New Roman" w:hAnsi="Times New Roman" w:cs="Times New Roman"/>
          <w:sz w:val="28"/>
          <w:szCs w:val="28"/>
        </w:rPr>
        <w:t>в отличи</w:t>
      </w:r>
      <w:proofErr w:type="gramStart"/>
      <w:r w:rsidRPr="00F23F89">
        <w:rPr>
          <w:rFonts w:ascii="Times New Roman" w:hAnsi="Times New Roman" w:cs="Times New Roman"/>
          <w:sz w:val="28"/>
          <w:szCs w:val="28"/>
        </w:rPr>
        <w:t>и</w:t>
      </w:r>
      <w:proofErr w:type="gramEnd"/>
      <w:r w:rsidRPr="00F23F89">
        <w:rPr>
          <w:rFonts w:ascii="Times New Roman" w:hAnsi="Times New Roman" w:cs="Times New Roman"/>
          <w:sz w:val="28"/>
          <w:szCs w:val="28"/>
        </w:rPr>
        <w:t xml:space="preserve"> от регионов, в Москве нет специфических отраслей предпринимательства, в которых субъекты МСП были бы преобладающими.</w:t>
      </w:r>
    </w:p>
    <w:p w:rsidR="00644C96" w:rsidRDefault="00644C96" w:rsidP="00644C96">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Сопоставляя региональные стратегии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применительно к их направленности на цифровую трансформацию субъектов МСП, можно условно разделить их на 3 группы:</w:t>
      </w:r>
    </w:p>
    <w:p w:rsidR="00644C96" w:rsidRPr="00644C96" w:rsidRDefault="00644C96" w:rsidP="00644C96">
      <w:pPr>
        <w:pStyle w:val="a5"/>
        <w:numPr>
          <w:ilvl w:val="0"/>
          <w:numId w:val="2"/>
        </w:numPr>
        <w:spacing w:after="0" w:line="288" w:lineRule="auto"/>
        <w:ind w:left="0" w:firstLine="709"/>
        <w:jc w:val="both"/>
        <w:rPr>
          <w:rFonts w:ascii="Times New Roman" w:hAnsi="Times New Roman" w:cs="Times New Roman"/>
          <w:sz w:val="28"/>
          <w:szCs w:val="28"/>
        </w:rPr>
      </w:pPr>
      <w:r w:rsidRPr="00644C96">
        <w:rPr>
          <w:rFonts w:ascii="Times New Roman" w:hAnsi="Times New Roman" w:cs="Times New Roman"/>
          <w:sz w:val="28"/>
          <w:szCs w:val="28"/>
        </w:rPr>
        <w:t xml:space="preserve">регионы, стратегия </w:t>
      </w:r>
      <w:proofErr w:type="spellStart"/>
      <w:r w:rsidRPr="00644C96">
        <w:rPr>
          <w:rFonts w:ascii="Times New Roman" w:hAnsi="Times New Roman" w:cs="Times New Roman"/>
          <w:sz w:val="28"/>
          <w:szCs w:val="28"/>
        </w:rPr>
        <w:t>цифровизации</w:t>
      </w:r>
      <w:proofErr w:type="spellEnd"/>
      <w:r w:rsidRPr="00644C96">
        <w:rPr>
          <w:rFonts w:ascii="Times New Roman" w:hAnsi="Times New Roman" w:cs="Times New Roman"/>
          <w:sz w:val="28"/>
          <w:szCs w:val="28"/>
        </w:rPr>
        <w:t xml:space="preserve"> которых предусматривает меры помощи субъектам МСП. Это обусловлено наличие специфических отраслей предпринимательской деятельности, в которых функционируют </w:t>
      </w:r>
      <w:r w:rsidRPr="00644C96">
        <w:rPr>
          <w:rFonts w:ascii="Times New Roman" w:hAnsi="Times New Roman" w:cs="Times New Roman"/>
          <w:sz w:val="28"/>
          <w:szCs w:val="28"/>
        </w:rPr>
        <w:lastRenderedPageBreak/>
        <w:t>преимущественно малые и средние предприятия или их число значительно. Например, в Санкт-Петербурге это сфера туристических впечатлений, в Татарстане – пчеловодство;</w:t>
      </w:r>
    </w:p>
    <w:p w:rsidR="00644C96" w:rsidRPr="00644C96" w:rsidRDefault="00644C96" w:rsidP="00644C96">
      <w:pPr>
        <w:pStyle w:val="a5"/>
        <w:numPr>
          <w:ilvl w:val="0"/>
          <w:numId w:val="2"/>
        </w:numPr>
        <w:spacing w:after="0" w:line="288" w:lineRule="auto"/>
        <w:ind w:left="0" w:firstLine="709"/>
        <w:jc w:val="both"/>
        <w:rPr>
          <w:rFonts w:ascii="Times New Roman" w:hAnsi="Times New Roman" w:cs="Times New Roman"/>
          <w:sz w:val="28"/>
          <w:szCs w:val="28"/>
        </w:rPr>
      </w:pPr>
      <w:r w:rsidRPr="00644C96">
        <w:rPr>
          <w:rFonts w:ascii="Times New Roman" w:hAnsi="Times New Roman" w:cs="Times New Roman"/>
          <w:sz w:val="28"/>
          <w:szCs w:val="28"/>
        </w:rPr>
        <w:t>регионы, в которых поддержка цифровой трансформации субъектов МСП является частью мер по развитию той или иной отрасли, которая занимает значимое место в экономике региона. Например, торговля и транспорт в Курганской области;</w:t>
      </w:r>
    </w:p>
    <w:p w:rsidR="00644C96" w:rsidRPr="00644C96" w:rsidRDefault="00644C96" w:rsidP="00644C96">
      <w:pPr>
        <w:pStyle w:val="a5"/>
        <w:numPr>
          <w:ilvl w:val="0"/>
          <w:numId w:val="2"/>
        </w:numPr>
        <w:spacing w:after="0" w:line="288" w:lineRule="auto"/>
        <w:ind w:left="0" w:firstLine="709"/>
        <w:jc w:val="both"/>
        <w:rPr>
          <w:rFonts w:ascii="Times New Roman" w:hAnsi="Times New Roman" w:cs="Times New Roman"/>
          <w:sz w:val="28"/>
          <w:szCs w:val="28"/>
        </w:rPr>
      </w:pPr>
      <w:r w:rsidRPr="00644C96">
        <w:rPr>
          <w:rFonts w:ascii="Times New Roman" w:hAnsi="Times New Roman" w:cs="Times New Roman"/>
          <w:sz w:val="28"/>
          <w:szCs w:val="28"/>
        </w:rPr>
        <w:t xml:space="preserve">регионы, в которых стратегия </w:t>
      </w:r>
      <w:proofErr w:type="spellStart"/>
      <w:r w:rsidRPr="00644C96">
        <w:rPr>
          <w:rFonts w:ascii="Times New Roman" w:hAnsi="Times New Roman" w:cs="Times New Roman"/>
          <w:sz w:val="28"/>
          <w:szCs w:val="28"/>
        </w:rPr>
        <w:t>цифровизации</w:t>
      </w:r>
      <w:proofErr w:type="spellEnd"/>
      <w:r w:rsidRPr="00644C96">
        <w:rPr>
          <w:rFonts w:ascii="Times New Roman" w:hAnsi="Times New Roman" w:cs="Times New Roman"/>
          <w:sz w:val="28"/>
          <w:szCs w:val="28"/>
        </w:rPr>
        <w:t xml:space="preserve"> не предусматривает поддержку цифровой трансформации субъектов МСП. Это или регионы, в экономике которых таких предприятий немного (как в Калмыкии или Еврейской АО), или их число и доля в экономике региона неточна (как в Москве).</w:t>
      </w:r>
    </w:p>
    <w:p w:rsidR="00644C96" w:rsidRDefault="00644C96" w:rsidP="00644C96">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Также следует отметить, что уровень экономического и социального развития регионов, объемы их финансирования, структурные особенности в разных регионах Российской Федерации значительно различаются</w:t>
      </w:r>
      <w:r w:rsidR="00DA7CAF">
        <w:rPr>
          <w:rFonts w:ascii="Times New Roman" w:hAnsi="Times New Roman" w:cs="Times New Roman"/>
          <w:sz w:val="28"/>
          <w:szCs w:val="28"/>
        </w:rPr>
        <w:t xml:space="preserve"> </w:t>
      </w:r>
      <w:r w:rsidR="00DA7CAF" w:rsidRPr="00DA7CAF">
        <w:rPr>
          <w:rFonts w:ascii="Times New Roman" w:hAnsi="Times New Roman" w:cs="Times New Roman"/>
          <w:sz w:val="28"/>
          <w:szCs w:val="28"/>
        </w:rPr>
        <w:t>[15]</w:t>
      </w:r>
      <w:r>
        <w:rPr>
          <w:rFonts w:ascii="Times New Roman" w:hAnsi="Times New Roman" w:cs="Times New Roman"/>
          <w:sz w:val="28"/>
          <w:szCs w:val="28"/>
        </w:rPr>
        <w:t xml:space="preserve">. Там, где не решены еще насущные проблемы в сфере транспорта, ЖКХ, здравоохранения и образования, поддержка цифровой трансформации субъектов МСП не является приоритетной задачей. </w:t>
      </w:r>
      <w:r w:rsidR="00537894">
        <w:rPr>
          <w:rFonts w:ascii="Times New Roman" w:hAnsi="Times New Roman" w:cs="Times New Roman"/>
          <w:sz w:val="28"/>
          <w:szCs w:val="28"/>
        </w:rPr>
        <w:t xml:space="preserve">Очевидно, что диспропорция в уровне поддержки цифровой трансформации и, соответственно, уровня </w:t>
      </w:r>
      <w:proofErr w:type="spellStart"/>
      <w:r w:rsidR="00537894">
        <w:rPr>
          <w:rFonts w:ascii="Times New Roman" w:hAnsi="Times New Roman" w:cs="Times New Roman"/>
          <w:sz w:val="28"/>
          <w:szCs w:val="28"/>
        </w:rPr>
        <w:t>цифровизации</w:t>
      </w:r>
      <w:proofErr w:type="spellEnd"/>
      <w:r w:rsidR="00537894">
        <w:rPr>
          <w:rFonts w:ascii="Times New Roman" w:hAnsi="Times New Roman" w:cs="Times New Roman"/>
          <w:sz w:val="28"/>
          <w:szCs w:val="28"/>
        </w:rPr>
        <w:t xml:space="preserve"> в различных регионах РФ будет сохраняться на протяжении длительного периода, что вызвано объективными причинами.</w:t>
      </w:r>
    </w:p>
    <w:p w:rsidR="00537894" w:rsidRDefault="00537894" w:rsidP="00644C96">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Банк «Открытие» совместно с НАФИ провел оценку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малого и среднего бизнеса в 2022 году. Его результаты представлены на рисунке 1.</w:t>
      </w:r>
    </w:p>
    <w:p w:rsidR="00242F93" w:rsidRDefault="00242F93" w:rsidP="00AA1E1C">
      <w:pPr>
        <w:spacing w:after="0" w:line="288"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99593" cy="2695433"/>
            <wp:effectExtent l="0" t="0" r="6350" b="101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537894" w:rsidRPr="00537894" w:rsidRDefault="00537894" w:rsidP="00537894">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Рисунок 1 – </w:t>
      </w:r>
      <w:proofErr w:type="spellStart"/>
      <w:r>
        <w:rPr>
          <w:rFonts w:ascii="Times New Roman" w:hAnsi="Times New Roman" w:cs="Times New Roman"/>
          <w:sz w:val="28"/>
          <w:szCs w:val="28"/>
        </w:rPr>
        <w:t>Цифровизация</w:t>
      </w:r>
      <w:proofErr w:type="spellEnd"/>
      <w:r>
        <w:rPr>
          <w:rFonts w:ascii="Times New Roman" w:hAnsi="Times New Roman" w:cs="Times New Roman"/>
          <w:sz w:val="28"/>
          <w:szCs w:val="28"/>
        </w:rPr>
        <w:t xml:space="preserve"> малого и среднего бизнеса в 2022 году (по версии Банка «Открытие» и НАФИ) </w:t>
      </w:r>
      <w:r w:rsidRPr="00537894">
        <w:rPr>
          <w:rFonts w:ascii="Times New Roman" w:hAnsi="Times New Roman" w:cs="Times New Roman"/>
          <w:sz w:val="28"/>
          <w:szCs w:val="28"/>
        </w:rPr>
        <w:t>[</w:t>
      </w:r>
      <w:r>
        <w:rPr>
          <w:rFonts w:ascii="Times New Roman" w:hAnsi="Times New Roman" w:cs="Times New Roman"/>
          <w:sz w:val="28"/>
          <w:szCs w:val="28"/>
        </w:rPr>
        <w:t>9</w:t>
      </w:r>
      <w:r w:rsidRPr="00537894">
        <w:rPr>
          <w:rFonts w:ascii="Times New Roman" w:hAnsi="Times New Roman" w:cs="Times New Roman"/>
          <w:sz w:val="28"/>
          <w:szCs w:val="28"/>
        </w:rPr>
        <w:t>]</w:t>
      </w:r>
    </w:p>
    <w:p w:rsidR="002A7B9A" w:rsidRDefault="002A7B9A" w:rsidP="00644C96">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Обобщенные данные, представленные на рисунке 1, наглядно демонстрируют существование выявленной диспропорции даже без распределения результатов по регионам. Очевидно, что высокий уровень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приходится на мегаполисы и благополучные в социально-экономическом плане регионы, а низкий уровень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субъектов МСП характерен для депрессивных регионов. </w:t>
      </w:r>
      <w:r w:rsidR="000115E7">
        <w:rPr>
          <w:rFonts w:ascii="Times New Roman" w:hAnsi="Times New Roman" w:cs="Times New Roman"/>
          <w:sz w:val="28"/>
          <w:szCs w:val="28"/>
        </w:rPr>
        <w:t xml:space="preserve">В принципе, такая ситуация близка к нормальному распределению Гаусса – наилучший и наихудший вариант составляют приблизительно равные доли от общего числа, а основная часть приходится на нейтральный, усредненный вариант (в рассматриваемом случае – «средний уровень </w:t>
      </w:r>
      <w:proofErr w:type="spellStart"/>
      <w:r w:rsidR="000115E7">
        <w:rPr>
          <w:rFonts w:ascii="Times New Roman" w:hAnsi="Times New Roman" w:cs="Times New Roman"/>
          <w:sz w:val="28"/>
          <w:szCs w:val="28"/>
        </w:rPr>
        <w:t>цифровизации</w:t>
      </w:r>
      <w:proofErr w:type="spellEnd"/>
      <w:r w:rsidR="000115E7">
        <w:rPr>
          <w:rFonts w:ascii="Times New Roman" w:hAnsi="Times New Roman" w:cs="Times New Roman"/>
          <w:sz w:val="28"/>
          <w:szCs w:val="28"/>
        </w:rPr>
        <w:t>»).</w:t>
      </w:r>
    </w:p>
    <w:p w:rsidR="00747157" w:rsidRDefault="000115E7" w:rsidP="00644C96">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Очевидно, что цифровая трансформация субъектов МСП в регионах требует поддержки. В целом наделение региональных властей полномочии в сфере развитии ЭПР, а также разработка соответствующих стратегий развития – несомненно, позитивное явление. 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ожидать немедленного устранения диспропорций и решения острых проблем на местах за счет о</w:t>
      </w:r>
      <w:r w:rsidR="00747157">
        <w:rPr>
          <w:rFonts w:ascii="Times New Roman" w:hAnsi="Times New Roman" w:cs="Times New Roman"/>
          <w:sz w:val="28"/>
          <w:szCs w:val="28"/>
        </w:rPr>
        <w:t>беспечения возможностей к развитию цифровых технологий не приходится.</w:t>
      </w:r>
    </w:p>
    <w:p w:rsidR="00537894" w:rsidRDefault="00537894" w:rsidP="00644C96">
      <w:pPr>
        <w:spacing w:after="0" w:line="288"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Возвращаясь к федеральным мерам поддержки цифровой трансформации </w:t>
      </w:r>
      <w:r w:rsidR="00C4594D">
        <w:rPr>
          <w:rFonts w:ascii="Times New Roman" w:hAnsi="Times New Roman" w:cs="Times New Roman"/>
          <w:sz w:val="28"/>
          <w:szCs w:val="28"/>
        </w:rPr>
        <w:t>субъектов МСП следует</w:t>
      </w:r>
      <w:proofErr w:type="gramEnd"/>
      <w:r w:rsidR="00C4594D">
        <w:rPr>
          <w:rFonts w:ascii="Times New Roman" w:hAnsi="Times New Roman" w:cs="Times New Roman"/>
          <w:sz w:val="28"/>
          <w:szCs w:val="28"/>
        </w:rPr>
        <w:t xml:space="preserve"> обратить внимание на технологическую и организационную инновацию. Благодаря национальному проекту «Малое и среднее предпринимательство» </w:t>
      </w:r>
      <w:r w:rsidR="00C4594D" w:rsidRPr="00C4594D">
        <w:rPr>
          <w:rFonts w:ascii="Times New Roman" w:hAnsi="Times New Roman" w:cs="Times New Roman"/>
          <w:sz w:val="28"/>
          <w:szCs w:val="28"/>
        </w:rPr>
        <w:t>[</w:t>
      </w:r>
      <w:r w:rsidR="00C4594D">
        <w:rPr>
          <w:rFonts w:ascii="Times New Roman" w:hAnsi="Times New Roman" w:cs="Times New Roman"/>
          <w:sz w:val="28"/>
          <w:szCs w:val="28"/>
        </w:rPr>
        <w:t>10</w:t>
      </w:r>
      <w:r w:rsidR="00C4594D" w:rsidRPr="00C4594D">
        <w:rPr>
          <w:rFonts w:ascii="Times New Roman" w:hAnsi="Times New Roman" w:cs="Times New Roman"/>
          <w:sz w:val="28"/>
          <w:szCs w:val="28"/>
        </w:rPr>
        <w:t>]</w:t>
      </w:r>
      <w:r w:rsidR="00C4594D">
        <w:rPr>
          <w:rFonts w:ascii="Times New Roman" w:hAnsi="Times New Roman" w:cs="Times New Roman"/>
          <w:sz w:val="28"/>
          <w:szCs w:val="28"/>
        </w:rPr>
        <w:t xml:space="preserve"> в 2022 году начала работу специализированная электронная платформа </w:t>
      </w:r>
      <w:proofErr w:type="spellStart"/>
      <w:r w:rsidR="00C4594D">
        <w:rPr>
          <w:rFonts w:ascii="Times New Roman" w:hAnsi="Times New Roman" w:cs="Times New Roman"/>
          <w:sz w:val="28"/>
          <w:szCs w:val="28"/>
        </w:rPr>
        <w:t>МСП</w:t>
      </w:r>
      <w:proofErr w:type="gramStart"/>
      <w:r w:rsidR="00C4594D">
        <w:rPr>
          <w:rFonts w:ascii="Times New Roman" w:hAnsi="Times New Roman" w:cs="Times New Roman"/>
          <w:sz w:val="28"/>
          <w:szCs w:val="28"/>
        </w:rPr>
        <w:t>.р</w:t>
      </w:r>
      <w:proofErr w:type="gramEnd"/>
      <w:r w:rsidR="00C4594D">
        <w:rPr>
          <w:rFonts w:ascii="Times New Roman" w:hAnsi="Times New Roman" w:cs="Times New Roman"/>
          <w:sz w:val="28"/>
          <w:szCs w:val="28"/>
        </w:rPr>
        <w:t>ф</w:t>
      </w:r>
      <w:proofErr w:type="spellEnd"/>
      <w:r w:rsidR="00C4594D">
        <w:rPr>
          <w:rFonts w:ascii="Times New Roman" w:hAnsi="Times New Roman" w:cs="Times New Roman"/>
          <w:sz w:val="28"/>
          <w:szCs w:val="28"/>
        </w:rPr>
        <w:t xml:space="preserve">, которая предназначена для оказания дистанционной поддержки предпринимателям в режиме реального времени. Пользователи платформы получают доступ к информации о мерах государственной поддержки, могут узнать о </w:t>
      </w:r>
      <w:proofErr w:type="gramStart"/>
      <w:r w:rsidR="00C4594D">
        <w:rPr>
          <w:rFonts w:ascii="Times New Roman" w:hAnsi="Times New Roman" w:cs="Times New Roman"/>
          <w:sz w:val="28"/>
          <w:szCs w:val="28"/>
        </w:rPr>
        <w:t>стоп-факторах</w:t>
      </w:r>
      <w:proofErr w:type="gramEnd"/>
      <w:r w:rsidR="00C4594D">
        <w:rPr>
          <w:rFonts w:ascii="Times New Roman" w:hAnsi="Times New Roman" w:cs="Times New Roman"/>
          <w:sz w:val="28"/>
          <w:szCs w:val="28"/>
        </w:rPr>
        <w:t>, провести оценку навыков, оформить документы, для подачи заявки на кредит в 8 банков одновременно</w:t>
      </w:r>
      <w:r w:rsidR="00C4594D" w:rsidRPr="00C4594D">
        <w:rPr>
          <w:rFonts w:ascii="Times New Roman" w:hAnsi="Times New Roman" w:cs="Times New Roman"/>
          <w:sz w:val="28"/>
          <w:szCs w:val="28"/>
        </w:rPr>
        <w:t xml:space="preserve"> [11]</w:t>
      </w:r>
      <w:r w:rsidR="00C4594D">
        <w:rPr>
          <w:rFonts w:ascii="Times New Roman" w:hAnsi="Times New Roman" w:cs="Times New Roman"/>
          <w:sz w:val="28"/>
          <w:szCs w:val="28"/>
        </w:rPr>
        <w:t>.</w:t>
      </w:r>
    </w:p>
    <w:p w:rsidR="001A2E76" w:rsidRDefault="00C4594D" w:rsidP="00644C96">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к позитивным изменениям, открывающим возможности для придания импульса к цифровой трансформации субъектов МСП следует признать создание и запуск государственных информационных систем – сейчас их количество превышает 70 </w:t>
      </w:r>
      <w:r w:rsidRPr="00C4594D">
        <w:rPr>
          <w:rFonts w:ascii="Times New Roman" w:hAnsi="Times New Roman" w:cs="Times New Roman"/>
          <w:sz w:val="28"/>
          <w:szCs w:val="28"/>
        </w:rPr>
        <w:t>[12]</w:t>
      </w:r>
      <w:r>
        <w:rPr>
          <w:rFonts w:ascii="Times New Roman" w:hAnsi="Times New Roman" w:cs="Times New Roman"/>
          <w:sz w:val="28"/>
          <w:szCs w:val="28"/>
        </w:rPr>
        <w:t xml:space="preserve">. Благодаря этому федеральные меры государственной поддержки становятся доступны предпринимателям по всей России, в любом регионе страны. Энтузиасты, специалисты, инициативные предприниматели в сфере малого и среднего бизнеса со всей страны получают равные возможности для реализации своих идей, используя </w:t>
      </w:r>
      <w:r>
        <w:rPr>
          <w:rFonts w:ascii="Times New Roman" w:hAnsi="Times New Roman" w:cs="Times New Roman"/>
          <w:sz w:val="28"/>
          <w:szCs w:val="28"/>
        </w:rPr>
        <w:lastRenderedPageBreak/>
        <w:t xml:space="preserve">возможности государственных информационных систем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сочетаниями с региональными решениями. </w:t>
      </w:r>
    </w:p>
    <w:p w:rsidR="00601EE9" w:rsidRDefault="00601EE9" w:rsidP="00190077">
      <w:pPr>
        <w:spacing w:after="0" w:line="288" w:lineRule="auto"/>
        <w:ind w:firstLine="709"/>
        <w:jc w:val="both"/>
        <w:rPr>
          <w:rFonts w:ascii="Times New Roman" w:hAnsi="Times New Roman" w:cs="Times New Roman"/>
          <w:sz w:val="28"/>
          <w:szCs w:val="28"/>
        </w:rPr>
      </w:pPr>
    </w:p>
    <w:p w:rsidR="00A37CB2" w:rsidRDefault="00A37CB2" w:rsidP="00FC3453">
      <w:pPr>
        <w:spacing w:after="0" w:line="288" w:lineRule="auto"/>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Список источников:</w:t>
      </w:r>
    </w:p>
    <w:p w:rsidR="00F04EB0" w:rsidRPr="00537894" w:rsidRDefault="00F04EB0" w:rsidP="00537894">
      <w:pPr>
        <w:pStyle w:val="a5"/>
        <w:numPr>
          <w:ilvl w:val="0"/>
          <w:numId w:val="3"/>
        </w:numPr>
        <w:spacing w:after="0" w:line="288" w:lineRule="auto"/>
        <w:ind w:left="0" w:firstLine="0"/>
        <w:jc w:val="both"/>
        <w:rPr>
          <w:rFonts w:ascii="Times New Roman" w:hAnsi="Times New Roman" w:cs="Times New Roman"/>
          <w:sz w:val="28"/>
          <w:szCs w:val="28"/>
        </w:rPr>
      </w:pPr>
      <w:r w:rsidRPr="00537894">
        <w:rPr>
          <w:rFonts w:ascii="Times New Roman" w:hAnsi="Times New Roman" w:cs="Times New Roman"/>
          <w:sz w:val="28"/>
          <w:szCs w:val="28"/>
        </w:rPr>
        <w:t>Распоряжение Правительства РФ от 28 июля 2017 г. №</w:t>
      </w:r>
      <w:r w:rsidR="00E92E23" w:rsidRPr="00537894">
        <w:rPr>
          <w:rFonts w:ascii="Times New Roman" w:hAnsi="Times New Roman" w:cs="Times New Roman"/>
          <w:sz w:val="28"/>
          <w:szCs w:val="28"/>
        </w:rPr>
        <w:t>,</w:t>
      </w:r>
      <w:r w:rsidRPr="00537894">
        <w:rPr>
          <w:rFonts w:ascii="Times New Roman" w:hAnsi="Times New Roman" w:cs="Times New Roman"/>
          <w:sz w:val="28"/>
          <w:szCs w:val="28"/>
        </w:rPr>
        <w:t>1632-р «Об утверждении программы «Цифровая экономика Российской Федерации»  [Электронный ресурс]. – Режим доступа: http://static.government.ru/media/files (дата обращения 21.02.2023)</w:t>
      </w:r>
    </w:p>
    <w:p w:rsidR="00F04EB0" w:rsidRPr="00537894" w:rsidRDefault="00F04EB0" w:rsidP="00537894">
      <w:pPr>
        <w:pStyle w:val="a5"/>
        <w:numPr>
          <w:ilvl w:val="0"/>
          <w:numId w:val="3"/>
        </w:numPr>
        <w:spacing w:after="0" w:line="288" w:lineRule="auto"/>
        <w:ind w:left="0" w:firstLine="0"/>
        <w:jc w:val="both"/>
        <w:rPr>
          <w:rFonts w:ascii="Times New Roman" w:hAnsi="Times New Roman" w:cs="Times New Roman"/>
          <w:sz w:val="28"/>
          <w:szCs w:val="28"/>
        </w:rPr>
      </w:pPr>
      <w:r w:rsidRPr="00537894">
        <w:rPr>
          <w:rFonts w:ascii="Times New Roman" w:hAnsi="Times New Roman" w:cs="Times New Roman"/>
          <w:sz w:val="28"/>
          <w:szCs w:val="28"/>
        </w:rPr>
        <w:t xml:space="preserve">Указ Президента Российской Федерации от 09.05.2017 № 203 «О Стратегии развития информационного общества в Российской Федерации на 2017–2030 годы» [Электронный ресурс] </w:t>
      </w:r>
      <w:r w:rsidRPr="00537894">
        <w:rPr>
          <w:rFonts w:ascii="Times New Roman" w:hAnsi="Times New Roman" w:cs="Times New Roman"/>
          <w:sz w:val="28"/>
          <w:szCs w:val="28"/>
          <w:lang w:val="en-US"/>
        </w:rPr>
        <w:t>URL</w:t>
      </w:r>
      <w:r w:rsidRPr="00537894">
        <w:rPr>
          <w:rFonts w:ascii="Times New Roman" w:hAnsi="Times New Roman" w:cs="Times New Roman"/>
          <w:sz w:val="28"/>
          <w:szCs w:val="28"/>
        </w:rPr>
        <w:t xml:space="preserve">: </w:t>
      </w:r>
      <w:r w:rsidRPr="00B7494B">
        <w:rPr>
          <w:rFonts w:ascii="Times New Roman" w:hAnsi="Times New Roman" w:cs="Times New Roman"/>
          <w:sz w:val="28"/>
          <w:szCs w:val="28"/>
        </w:rPr>
        <w:t>http://www.kremlin.ru/acts/bank/41919</w:t>
      </w:r>
      <w:r w:rsidRPr="00537894">
        <w:rPr>
          <w:rFonts w:ascii="Times New Roman" w:hAnsi="Times New Roman" w:cs="Times New Roman"/>
          <w:sz w:val="28"/>
          <w:szCs w:val="28"/>
        </w:rPr>
        <w:t xml:space="preserve"> (дата обращения: 21.02.2023)</w:t>
      </w:r>
    </w:p>
    <w:p w:rsidR="00964F5D" w:rsidRPr="00537894" w:rsidRDefault="00964F5D" w:rsidP="00537894">
      <w:pPr>
        <w:pStyle w:val="a5"/>
        <w:numPr>
          <w:ilvl w:val="0"/>
          <w:numId w:val="3"/>
        </w:numPr>
        <w:spacing w:after="0" w:line="288" w:lineRule="auto"/>
        <w:ind w:left="0" w:firstLine="0"/>
        <w:jc w:val="both"/>
        <w:rPr>
          <w:rFonts w:ascii="Times New Roman" w:hAnsi="Times New Roman" w:cs="Times New Roman"/>
          <w:sz w:val="28"/>
          <w:szCs w:val="28"/>
        </w:rPr>
      </w:pPr>
      <w:r w:rsidRPr="00537894">
        <w:rPr>
          <w:rFonts w:ascii="Times New Roman" w:hAnsi="Times New Roman" w:cs="Times New Roman"/>
          <w:sz w:val="28"/>
          <w:szCs w:val="28"/>
        </w:rPr>
        <w:t xml:space="preserve">Федеральный закон от 31.07.2020 № 14-ФЗ «Об экспериментальных правовых режимах в сфере цифровых инноваций в Российской Федерации» [Электронный ресурс] URL: </w:t>
      </w:r>
      <w:hyperlink r:id="rId6" w:history="1">
        <w:r w:rsidRPr="00B7494B">
          <w:rPr>
            <w:rFonts w:ascii="Times New Roman" w:hAnsi="Times New Roman" w:cs="Times New Roman"/>
            <w:sz w:val="28"/>
            <w:szCs w:val="28"/>
          </w:rPr>
          <w:t>https://www.consultant.ru/document/cons_doc_LAW_358738/</w:t>
        </w:r>
      </w:hyperlink>
      <w:r w:rsidRPr="00537894">
        <w:rPr>
          <w:rFonts w:ascii="Times New Roman" w:hAnsi="Times New Roman" w:cs="Times New Roman"/>
          <w:sz w:val="28"/>
          <w:szCs w:val="28"/>
        </w:rPr>
        <w:t xml:space="preserve">  (дата </w:t>
      </w:r>
      <w:proofErr w:type="spellStart"/>
      <w:r w:rsidRPr="00537894">
        <w:rPr>
          <w:rFonts w:ascii="Times New Roman" w:hAnsi="Times New Roman" w:cs="Times New Roman"/>
          <w:sz w:val="28"/>
          <w:szCs w:val="28"/>
        </w:rPr>
        <w:t>образения</w:t>
      </w:r>
      <w:proofErr w:type="spellEnd"/>
      <w:r w:rsidRPr="00537894">
        <w:rPr>
          <w:rFonts w:ascii="Times New Roman" w:hAnsi="Times New Roman" w:cs="Times New Roman"/>
          <w:sz w:val="28"/>
          <w:szCs w:val="28"/>
        </w:rPr>
        <w:t>: 21.02.2023)</w:t>
      </w:r>
    </w:p>
    <w:p w:rsidR="003C34A3" w:rsidRPr="00537894" w:rsidRDefault="003C34A3" w:rsidP="00537894">
      <w:pPr>
        <w:pStyle w:val="a5"/>
        <w:numPr>
          <w:ilvl w:val="0"/>
          <w:numId w:val="3"/>
        </w:numPr>
        <w:spacing w:after="0" w:line="288" w:lineRule="auto"/>
        <w:ind w:left="0" w:firstLine="0"/>
        <w:jc w:val="both"/>
        <w:rPr>
          <w:rFonts w:ascii="Times New Roman" w:hAnsi="Times New Roman" w:cs="Times New Roman"/>
          <w:sz w:val="28"/>
          <w:szCs w:val="28"/>
        </w:rPr>
      </w:pPr>
      <w:proofErr w:type="gramStart"/>
      <w:r w:rsidRPr="00537894">
        <w:rPr>
          <w:rFonts w:ascii="Times New Roman" w:hAnsi="Times New Roman" w:cs="Times New Roman"/>
          <w:sz w:val="28"/>
          <w:szCs w:val="28"/>
        </w:rPr>
        <w:t>Федеральный закон от 24.04.2020 №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[Электронный ресурс] URL:</w:t>
      </w:r>
      <w:r w:rsidRPr="00537894">
        <w:rPr>
          <w:rFonts w:ascii="Times New Roman" w:hAnsi="Times New Roman" w:cs="Times New Roman"/>
          <w:sz w:val="28"/>
          <w:szCs w:val="28"/>
        </w:rPr>
        <w:br/>
      </w:r>
      <w:hyperlink r:id="rId7" w:history="1">
        <w:r w:rsidRPr="00537894">
          <w:rPr>
            <w:rFonts w:ascii="Times New Roman" w:hAnsi="Times New Roman" w:cs="Times New Roman"/>
            <w:sz w:val="28"/>
            <w:szCs w:val="28"/>
          </w:rPr>
          <w:t>http://publication.pravo.gov.ru/Document/View/0001202004240030</w:t>
        </w:r>
      </w:hyperlink>
      <w:r w:rsidRPr="00537894">
        <w:rPr>
          <w:rFonts w:ascii="Times New Roman" w:hAnsi="Times New Roman" w:cs="Times New Roman"/>
          <w:sz w:val="28"/>
          <w:szCs w:val="28"/>
        </w:rPr>
        <w:t xml:space="preserve"> (дата обращения: 21.02.2023)</w:t>
      </w:r>
      <w:proofErr w:type="gramEnd"/>
    </w:p>
    <w:p w:rsidR="00122E16" w:rsidRPr="00F04E64" w:rsidRDefault="00122E16" w:rsidP="00537894">
      <w:pPr>
        <w:pStyle w:val="a5"/>
        <w:numPr>
          <w:ilvl w:val="0"/>
          <w:numId w:val="3"/>
        </w:numPr>
        <w:spacing w:after="0" w:line="288" w:lineRule="auto"/>
        <w:ind w:left="0" w:firstLine="0"/>
        <w:jc w:val="both"/>
        <w:rPr>
          <w:rFonts w:ascii="Times New Roman" w:hAnsi="Times New Roman" w:cs="Times New Roman"/>
          <w:sz w:val="28"/>
          <w:szCs w:val="28"/>
        </w:rPr>
      </w:pPr>
      <w:r w:rsidRPr="00537894">
        <w:rPr>
          <w:rFonts w:ascii="Times New Roman" w:hAnsi="Times New Roman" w:cs="Times New Roman"/>
          <w:sz w:val="28"/>
          <w:szCs w:val="28"/>
        </w:rPr>
        <w:t xml:space="preserve">Панфилова Е.А., Комарова С.Н. Формы поддержки субъектов малого и среднего предпринимательства в условиях цифровой трансформации // </w:t>
      </w:r>
      <w:r w:rsidRPr="00F04E64">
        <w:rPr>
          <w:rFonts w:ascii="Times New Roman" w:hAnsi="Times New Roman" w:cs="Times New Roman"/>
          <w:sz w:val="28"/>
          <w:szCs w:val="28"/>
        </w:rPr>
        <w:t>Естественно-гуманитарные исследования. -  2020. - № 29 (3). – С. 282-286</w:t>
      </w:r>
    </w:p>
    <w:p w:rsidR="00E92E23" w:rsidRPr="00F04E64" w:rsidRDefault="00E92E23" w:rsidP="00537894">
      <w:pPr>
        <w:pStyle w:val="a5"/>
        <w:numPr>
          <w:ilvl w:val="0"/>
          <w:numId w:val="3"/>
        </w:numPr>
        <w:spacing w:after="0" w:line="288" w:lineRule="auto"/>
        <w:ind w:left="0" w:firstLine="0"/>
        <w:jc w:val="both"/>
        <w:rPr>
          <w:rFonts w:ascii="Times New Roman" w:hAnsi="Times New Roman" w:cs="Times New Roman"/>
          <w:sz w:val="28"/>
          <w:szCs w:val="28"/>
        </w:rPr>
      </w:pPr>
      <w:r w:rsidRPr="00F04E64">
        <w:rPr>
          <w:rFonts w:ascii="Times New Roman" w:hAnsi="Times New Roman" w:cs="Times New Roman"/>
          <w:sz w:val="28"/>
          <w:szCs w:val="28"/>
        </w:rPr>
        <w:t xml:space="preserve">Стратегии цифровой трансформации регионов России // </w:t>
      </w:r>
      <w:proofErr w:type="spellStart"/>
      <w:r w:rsidRPr="00F04E64">
        <w:rPr>
          <w:rFonts w:ascii="Times New Roman" w:hAnsi="Times New Roman" w:cs="Times New Roman"/>
          <w:sz w:val="28"/>
          <w:szCs w:val="28"/>
        </w:rPr>
        <w:t>TDAdvisor</w:t>
      </w:r>
      <w:proofErr w:type="spellEnd"/>
      <w:r w:rsidRPr="00F04E64">
        <w:rPr>
          <w:rFonts w:ascii="Times New Roman" w:hAnsi="Times New Roman" w:cs="Times New Roman"/>
          <w:sz w:val="28"/>
          <w:szCs w:val="28"/>
        </w:rPr>
        <w:t>. [Электронный ресурс]</w:t>
      </w:r>
      <w:r w:rsidR="0051218B" w:rsidRPr="00F04E64">
        <w:rPr>
          <w:rFonts w:ascii="Times New Roman" w:hAnsi="Times New Roman" w:cs="Times New Roman"/>
          <w:sz w:val="28"/>
          <w:szCs w:val="28"/>
        </w:rPr>
        <w:t xml:space="preserve"> URL: </w:t>
      </w:r>
      <w:r w:rsidR="00F04E64" w:rsidRPr="00F04E64">
        <w:rPr>
          <w:rFonts w:ascii="Times New Roman" w:hAnsi="Times New Roman" w:cs="Times New Roman"/>
          <w:sz w:val="28"/>
          <w:szCs w:val="28"/>
        </w:rPr>
        <w:t xml:space="preserve">https://www.tadviser.ru/index.php/Статья:Стратегии_цифровой_трансформации_регионов_России# </w:t>
      </w:r>
      <w:r w:rsidR="0051218B" w:rsidRPr="00F04E64">
        <w:rPr>
          <w:rFonts w:ascii="Times New Roman" w:hAnsi="Times New Roman" w:cs="Times New Roman"/>
          <w:sz w:val="28"/>
          <w:szCs w:val="28"/>
        </w:rPr>
        <w:t xml:space="preserve"> (дата обращения: 22.02.2023)</w:t>
      </w:r>
    </w:p>
    <w:p w:rsidR="00541E18" w:rsidRPr="00537894" w:rsidRDefault="00541E18" w:rsidP="00537894">
      <w:pPr>
        <w:pStyle w:val="a5"/>
        <w:numPr>
          <w:ilvl w:val="0"/>
          <w:numId w:val="3"/>
        </w:numPr>
        <w:spacing w:after="0" w:line="288" w:lineRule="auto"/>
        <w:ind w:left="0" w:firstLine="0"/>
        <w:jc w:val="both"/>
        <w:rPr>
          <w:rFonts w:ascii="Times New Roman" w:hAnsi="Times New Roman" w:cs="Times New Roman"/>
          <w:sz w:val="28"/>
          <w:szCs w:val="28"/>
        </w:rPr>
      </w:pPr>
      <w:r w:rsidRPr="00537894">
        <w:rPr>
          <w:rFonts w:ascii="Times New Roman" w:hAnsi="Times New Roman" w:cs="Times New Roman"/>
          <w:sz w:val="28"/>
          <w:szCs w:val="28"/>
        </w:rPr>
        <w:t xml:space="preserve">Единый реестр субъектов малого и среднего предпринимательства // Федеральная налоговая служба Российской Федерации [Электронный ресурс] </w:t>
      </w:r>
      <w:r w:rsidRPr="00537894">
        <w:rPr>
          <w:rFonts w:ascii="Times New Roman" w:hAnsi="Times New Roman" w:cs="Times New Roman"/>
          <w:sz w:val="28"/>
          <w:szCs w:val="28"/>
          <w:lang w:val="en-US"/>
        </w:rPr>
        <w:t>URL</w:t>
      </w:r>
      <w:r w:rsidRPr="00537894">
        <w:rPr>
          <w:rFonts w:ascii="Times New Roman" w:hAnsi="Times New Roman" w:cs="Times New Roman"/>
          <w:sz w:val="28"/>
          <w:szCs w:val="28"/>
        </w:rPr>
        <w:t xml:space="preserve">: </w:t>
      </w:r>
      <w:r w:rsidRPr="00B7494B">
        <w:rPr>
          <w:rFonts w:ascii="Times New Roman" w:hAnsi="Times New Roman" w:cs="Times New Roman"/>
          <w:sz w:val="28"/>
          <w:szCs w:val="28"/>
        </w:rPr>
        <w:t>https://ofd.nalog.ru/index.html</w:t>
      </w:r>
      <w:r w:rsidRPr="00537894">
        <w:rPr>
          <w:rFonts w:ascii="Times New Roman" w:hAnsi="Times New Roman" w:cs="Times New Roman"/>
          <w:sz w:val="28"/>
          <w:szCs w:val="28"/>
        </w:rPr>
        <w:t xml:space="preserve"> (дата обращения: 22.02.2023)</w:t>
      </w:r>
    </w:p>
    <w:p w:rsidR="00537894" w:rsidRPr="00537894" w:rsidRDefault="00537894" w:rsidP="00537894">
      <w:pPr>
        <w:pStyle w:val="a5"/>
        <w:numPr>
          <w:ilvl w:val="0"/>
          <w:numId w:val="3"/>
        </w:numPr>
        <w:spacing w:after="0" w:line="288" w:lineRule="auto"/>
        <w:ind w:left="0" w:firstLine="0"/>
        <w:jc w:val="both"/>
        <w:rPr>
          <w:rFonts w:ascii="Times New Roman" w:hAnsi="Times New Roman" w:cs="Times New Roman"/>
          <w:sz w:val="28"/>
          <w:szCs w:val="28"/>
        </w:rPr>
      </w:pPr>
      <w:r w:rsidRPr="00537894">
        <w:rPr>
          <w:rFonts w:ascii="Times New Roman" w:hAnsi="Times New Roman" w:cs="Times New Roman"/>
          <w:sz w:val="28"/>
          <w:szCs w:val="28"/>
        </w:rPr>
        <w:lastRenderedPageBreak/>
        <w:t xml:space="preserve">Власти Москвы считают некорректными данные о сокращении числа малых и средних компаний // ИА ТАСС [Электронный ресурс] URL: </w:t>
      </w:r>
      <w:hyperlink r:id="rId8" w:history="1">
        <w:r w:rsidRPr="00537894">
          <w:rPr>
            <w:rFonts w:ascii="Times New Roman" w:hAnsi="Times New Roman" w:cs="Times New Roman"/>
            <w:sz w:val="28"/>
            <w:szCs w:val="28"/>
          </w:rPr>
          <w:t>https://tass.ru/msp/7691051</w:t>
        </w:r>
      </w:hyperlink>
      <w:r w:rsidRPr="00537894">
        <w:rPr>
          <w:rFonts w:ascii="Times New Roman" w:hAnsi="Times New Roman" w:cs="Times New Roman"/>
          <w:sz w:val="28"/>
          <w:szCs w:val="28"/>
        </w:rPr>
        <w:t xml:space="preserve"> (дата обращения: 21.02.2023)</w:t>
      </w:r>
    </w:p>
    <w:p w:rsidR="00537894" w:rsidRPr="00537894" w:rsidRDefault="00537894" w:rsidP="00537894">
      <w:pPr>
        <w:pStyle w:val="a5"/>
        <w:numPr>
          <w:ilvl w:val="0"/>
          <w:numId w:val="3"/>
        </w:numPr>
        <w:spacing w:after="0" w:line="288" w:lineRule="auto"/>
        <w:ind w:left="0" w:firstLine="0"/>
        <w:jc w:val="both"/>
        <w:rPr>
          <w:rFonts w:ascii="Times New Roman" w:hAnsi="Times New Roman" w:cs="Times New Roman"/>
          <w:sz w:val="28"/>
          <w:szCs w:val="28"/>
        </w:rPr>
      </w:pPr>
      <w:r w:rsidRPr="00537894">
        <w:rPr>
          <w:rFonts w:ascii="Times New Roman" w:hAnsi="Times New Roman" w:cs="Times New Roman"/>
          <w:sz w:val="28"/>
          <w:szCs w:val="28"/>
        </w:rPr>
        <w:t xml:space="preserve">Банк «Открытие»: интерес малого бизнеса к </w:t>
      </w:r>
      <w:proofErr w:type="spellStart"/>
      <w:r w:rsidRPr="00537894">
        <w:rPr>
          <w:rFonts w:ascii="Times New Roman" w:hAnsi="Times New Roman" w:cs="Times New Roman"/>
          <w:sz w:val="28"/>
          <w:szCs w:val="28"/>
        </w:rPr>
        <w:t>цифровизации</w:t>
      </w:r>
      <w:proofErr w:type="spellEnd"/>
      <w:r w:rsidRPr="00537894">
        <w:rPr>
          <w:rFonts w:ascii="Times New Roman" w:hAnsi="Times New Roman" w:cs="Times New Roman"/>
          <w:sz w:val="28"/>
          <w:szCs w:val="28"/>
        </w:rPr>
        <w:t xml:space="preserve"> и удаленной работе резко вырос в 2022 году // Аналитический центр НАФИ [Электронный ресурс] </w:t>
      </w:r>
      <w:r w:rsidRPr="00537894">
        <w:rPr>
          <w:rFonts w:ascii="Times New Roman" w:hAnsi="Times New Roman" w:cs="Times New Roman"/>
          <w:sz w:val="28"/>
          <w:szCs w:val="28"/>
          <w:lang w:val="en-US"/>
        </w:rPr>
        <w:t>URL</w:t>
      </w:r>
      <w:r w:rsidRPr="00537894">
        <w:rPr>
          <w:rFonts w:ascii="Times New Roman" w:hAnsi="Times New Roman" w:cs="Times New Roman"/>
          <w:sz w:val="28"/>
          <w:szCs w:val="28"/>
        </w:rPr>
        <w:t xml:space="preserve">: </w:t>
      </w:r>
      <w:r w:rsidRPr="00B7494B">
        <w:rPr>
          <w:rFonts w:ascii="Times New Roman" w:hAnsi="Times New Roman" w:cs="Times New Roman"/>
          <w:sz w:val="28"/>
          <w:szCs w:val="28"/>
        </w:rPr>
        <w:t>https://nafi.ru/analytics/bank-otkrytie-interes-malogo-biznesa-k-tsifrovizatsii-i-udalennoy-rabote-rezko-vyros-v-2022-godu/</w:t>
      </w:r>
      <w:r w:rsidRPr="00537894">
        <w:rPr>
          <w:rFonts w:ascii="Times New Roman" w:hAnsi="Times New Roman" w:cs="Times New Roman"/>
          <w:sz w:val="28"/>
          <w:szCs w:val="28"/>
        </w:rPr>
        <w:t xml:space="preserve"> (дата обращения: 24.02.2023).</w:t>
      </w:r>
    </w:p>
    <w:p w:rsidR="00C4594D" w:rsidRPr="00C4594D" w:rsidRDefault="00C4594D" w:rsidP="00C4594D">
      <w:pPr>
        <w:pStyle w:val="a5"/>
        <w:numPr>
          <w:ilvl w:val="0"/>
          <w:numId w:val="3"/>
        </w:numPr>
        <w:spacing w:after="0" w:line="288" w:lineRule="auto"/>
        <w:ind w:left="0" w:firstLine="0"/>
        <w:jc w:val="both"/>
        <w:rPr>
          <w:rFonts w:ascii="Times New Roman" w:hAnsi="Times New Roman" w:cs="Times New Roman"/>
          <w:sz w:val="28"/>
          <w:szCs w:val="28"/>
        </w:rPr>
      </w:pPr>
      <w:r w:rsidRPr="00C4594D">
        <w:rPr>
          <w:rFonts w:ascii="Times New Roman" w:hAnsi="Times New Roman" w:cs="Times New Roman"/>
          <w:sz w:val="28"/>
          <w:szCs w:val="28"/>
        </w:rPr>
        <w:t xml:space="preserve">Национальные проекты. Малое и среднее предпринимательство. [Электронный ресурс]. – URL: static.government.ru. </w:t>
      </w:r>
      <w:proofErr w:type="spellStart"/>
      <w:r w:rsidRPr="00C4594D">
        <w:rPr>
          <w:rFonts w:ascii="Times New Roman" w:hAnsi="Times New Roman" w:cs="Times New Roman"/>
          <w:sz w:val="28"/>
          <w:szCs w:val="28"/>
        </w:rPr>
        <w:t>media</w:t>
      </w:r>
      <w:proofErr w:type="spellEnd"/>
      <w:r w:rsidRPr="00C4594D">
        <w:rPr>
          <w:rFonts w:ascii="Times New Roman" w:hAnsi="Times New Roman" w:cs="Times New Roman"/>
          <w:sz w:val="28"/>
          <w:szCs w:val="28"/>
        </w:rPr>
        <w:t>/</w:t>
      </w:r>
      <w:proofErr w:type="spellStart"/>
      <w:r w:rsidRPr="00C4594D">
        <w:rPr>
          <w:rFonts w:ascii="Times New Roman" w:hAnsi="Times New Roman" w:cs="Times New Roman"/>
          <w:sz w:val="28"/>
          <w:szCs w:val="28"/>
        </w:rPr>
        <w:t>files</w:t>
      </w:r>
      <w:proofErr w:type="spellEnd"/>
      <w:r w:rsidRPr="00C4594D">
        <w:rPr>
          <w:rFonts w:ascii="Times New Roman" w:hAnsi="Times New Roman" w:cs="Times New Roman"/>
          <w:sz w:val="28"/>
          <w:szCs w:val="28"/>
        </w:rPr>
        <w:t xml:space="preserve"> (дата обращения 22.02.2023) </w:t>
      </w:r>
    </w:p>
    <w:p w:rsidR="00A37CB2" w:rsidRPr="00950567" w:rsidRDefault="00A37CB2" w:rsidP="00C4594D">
      <w:pPr>
        <w:pStyle w:val="a5"/>
        <w:numPr>
          <w:ilvl w:val="0"/>
          <w:numId w:val="3"/>
        </w:numPr>
        <w:spacing w:after="0" w:line="288" w:lineRule="auto"/>
        <w:ind w:left="0" w:firstLine="0"/>
        <w:jc w:val="both"/>
        <w:rPr>
          <w:rFonts w:ascii="Times New Roman" w:hAnsi="Times New Roman" w:cs="Times New Roman"/>
          <w:sz w:val="28"/>
          <w:szCs w:val="28"/>
        </w:rPr>
      </w:pPr>
      <w:r w:rsidRPr="00950567">
        <w:rPr>
          <w:rFonts w:ascii="Times New Roman" w:hAnsi="Times New Roman" w:cs="Times New Roman"/>
          <w:sz w:val="28"/>
          <w:szCs w:val="28"/>
        </w:rPr>
        <w:t>Цифровая платформа МСП</w:t>
      </w:r>
      <w:proofErr w:type="gramStart"/>
      <w:r w:rsidRPr="00950567">
        <w:rPr>
          <w:rFonts w:ascii="Times New Roman" w:hAnsi="Times New Roman" w:cs="Times New Roman"/>
          <w:sz w:val="28"/>
          <w:szCs w:val="28"/>
        </w:rPr>
        <w:t>.Р</w:t>
      </w:r>
      <w:proofErr w:type="gramEnd"/>
      <w:r w:rsidRPr="00950567">
        <w:rPr>
          <w:rFonts w:ascii="Times New Roman" w:hAnsi="Times New Roman" w:cs="Times New Roman"/>
          <w:sz w:val="28"/>
          <w:szCs w:val="28"/>
        </w:rPr>
        <w:t xml:space="preserve">Ф для малого и среднего бизнеса: как это работает // РБК. </w:t>
      </w:r>
      <w:r w:rsidR="00950567" w:rsidRPr="00950567">
        <w:rPr>
          <w:rFonts w:ascii="Times New Roman" w:hAnsi="Times New Roman" w:cs="Times New Roman"/>
          <w:sz w:val="28"/>
          <w:szCs w:val="28"/>
        </w:rPr>
        <w:t xml:space="preserve"> [Электронный ресурс] </w:t>
      </w:r>
      <w:r w:rsidRPr="00950567">
        <w:rPr>
          <w:rFonts w:ascii="Times New Roman" w:hAnsi="Times New Roman" w:cs="Times New Roman"/>
          <w:sz w:val="28"/>
          <w:szCs w:val="28"/>
        </w:rPr>
        <w:t xml:space="preserve">URL: </w:t>
      </w:r>
      <w:r w:rsidR="00950567">
        <w:rPr>
          <w:rFonts w:ascii="Times New Roman" w:hAnsi="Times New Roman" w:cs="Times New Roman"/>
          <w:sz w:val="28"/>
          <w:szCs w:val="28"/>
        </w:rPr>
        <w:t xml:space="preserve"> </w:t>
      </w:r>
      <w:hyperlink r:id="rId9" w:history="1">
        <w:r w:rsidR="00950567" w:rsidRPr="00E71022">
          <w:rPr>
            <w:rFonts w:ascii="Times New Roman" w:hAnsi="Times New Roman" w:cs="Times New Roman"/>
            <w:sz w:val="28"/>
            <w:szCs w:val="28"/>
          </w:rPr>
          <w:t>https://www.rbc.ru/business/03/08/2022/62e00af79a79477279576989</w:t>
        </w:r>
      </w:hyperlink>
      <w:r w:rsidR="00950567" w:rsidRPr="00950567">
        <w:rPr>
          <w:rFonts w:ascii="Times New Roman" w:hAnsi="Times New Roman" w:cs="Times New Roman"/>
          <w:sz w:val="28"/>
          <w:szCs w:val="28"/>
        </w:rPr>
        <w:t xml:space="preserve"> (дата обращения 21.02.2023)</w:t>
      </w:r>
    </w:p>
    <w:p w:rsidR="00E71022" w:rsidRPr="00DA7CAF" w:rsidRDefault="00E71022" w:rsidP="00C4594D">
      <w:pPr>
        <w:pStyle w:val="a5"/>
        <w:numPr>
          <w:ilvl w:val="0"/>
          <w:numId w:val="3"/>
        </w:numPr>
        <w:spacing w:after="0" w:line="288"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Шувалова М. </w:t>
      </w:r>
      <w:r w:rsidRPr="00E71022">
        <w:rPr>
          <w:rFonts w:ascii="Times New Roman" w:hAnsi="Times New Roman" w:cs="Times New Roman"/>
          <w:sz w:val="28"/>
          <w:szCs w:val="28"/>
        </w:rPr>
        <w:t>Три кита цифровой трансформации субъектов МСП: перевод бизнеса в онлайн-формат, финансовая поддержка, обучение цифровым навыкам</w:t>
      </w:r>
      <w:r>
        <w:rPr>
          <w:rFonts w:ascii="Times New Roman" w:hAnsi="Times New Roman" w:cs="Times New Roman"/>
          <w:sz w:val="28"/>
          <w:szCs w:val="28"/>
        </w:rPr>
        <w:t xml:space="preserve"> //</w:t>
      </w:r>
      <w:r w:rsidRPr="00E71022">
        <w:rPr>
          <w:rFonts w:ascii="Times New Roman" w:hAnsi="Times New Roman" w:cs="Times New Roman"/>
          <w:sz w:val="28"/>
          <w:szCs w:val="28"/>
        </w:rPr>
        <w:t xml:space="preserve"> </w:t>
      </w:r>
      <w:proofErr w:type="spellStart"/>
      <w:r>
        <w:rPr>
          <w:rFonts w:ascii="Times New Roman" w:hAnsi="Times New Roman" w:cs="Times New Roman"/>
          <w:sz w:val="28"/>
          <w:szCs w:val="28"/>
        </w:rPr>
        <w:t>Гарант</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w:t>
      </w:r>
      <w:proofErr w:type="spellEnd"/>
      <w:r>
        <w:rPr>
          <w:rFonts w:ascii="Times New Roman" w:hAnsi="Times New Roman" w:cs="Times New Roman"/>
          <w:sz w:val="28"/>
          <w:szCs w:val="28"/>
        </w:rPr>
        <w:t xml:space="preserve"> </w:t>
      </w:r>
      <w:r w:rsidRPr="00E71022">
        <w:rPr>
          <w:rFonts w:ascii="Times New Roman" w:hAnsi="Times New Roman" w:cs="Times New Roman"/>
          <w:sz w:val="28"/>
          <w:szCs w:val="28"/>
        </w:rPr>
        <w:t>[</w:t>
      </w:r>
      <w:r>
        <w:rPr>
          <w:rFonts w:ascii="Times New Roman" w:hAnsi="Times New Roman" w:cs="Times New Roman"/>
          <w:sz w:val="28"/>
          <w:szCs w:val="28"/>
        </w:rPr>
        <w:t>Электронный ресурс</w:t>
      </w:r>
      <w:r w:rsidRPr="00E71022">
        <w:rPr>
          <w:rFonts w:ascii="Times New Roman" w:hAnsi="Times New Roman" w:cs="Times New Roman"/>
          <w:sz w:val="28"/>
          <w:szCs w:val="28"/>
        </w:rPr>
        <w:t>]</w:t>
      </w:r>
      <w:r>
        <w:rPr>
          <w:rFonts w:ascii="Times New Roman" w:hAnsi="Times New Roman" w:cs="Times New Roman"/>
          <w:sz w:val="28"/>
          <w:szCs w:val="28"/>
        </w:rPr>
        <w:t xml:space="preserve"> </w:t>
      </w:r>
      <w:r w:rsidRPr="00E71022">
        <w:rPr>
          <w:rFonts w:ascii="Times New Roman" w:hAnsi="Times New Roman" w:cs="Times New Roman"/>
          <w:sz w:val="28"/>
          <w:szCs w:val="28"/>
        </w:rPr>
        <w:t>URL</w:t>
      </w:r>
      <w:r>
        <w:rPr>
          <w:rFonts w:ascii="Times New Roman" w:hAnsi="Times New Roman" w:cs="Times New Roman"/>
          <w:sz w:val="28"/>
          <w:szCs w:val="28"/>
        </w:rPr>
        <w:t xml:space="preserve">: </w:t>
      </w:r>
      <w:hyperlink r:id="rId10" w:history="1">
        <w:r w:rsidRPr="00E71022">
          <w:rPr>
            <w:rFonts w:ascii="Times New Roman" w:hAnsi="Times New Roman" w:cs="Times New Roman"/>
            <w:sz w:val="28"/>
            <w:szCs w:val="28"/>
          </w:rPr>
          <w:t>https://www.garant.ru/article/1467601/</w:t>
        </w:r>
      </w:hyperlink>
      <w:r>
        <w:rPr>
          <w:rFonts w:ascii="Times New Roman" w:hAnsi="Times New Roman" w:cs="Times New Roman"/>
          <w:sz w:val="28"/>
          <w:szCs w:val="28"/>
        </w:rPr>
        <w:t xml:space="preserve"> (дата обращения 21.02.2023)</w:t>
      </w:r>
    </w:p>
    <w:p w:rsidR="00DA7CAF" w:rsidRPr="00DA7CAF" w:rsidRDefault="00DA7CAF" w:rsidP="00C4594D">
      <w:pPr>
        <w:pStyle w:val="a5"/>
        <w:numPr>
          <w:ilvl w:val="0"/>
          <w:numId w:val="3"/>
        </w:numPr>
        <w:spacing w:after="0" w:line="288" w:lineRule="auto"/>
        <w:ind w:left="0" w:firstLine="0"/>
        <w:jc w:val="both"/>
        <w:rPr>
          <w:rFonts w:ascii="Times New Roman" w:hAnsi="Times New Roman" w:cs="Times New Roman"/>
          <w:sz w:val="28"/>
          <w:szCs w:val="28"/>
        </w:rPr>
      </w:pPr>
      <w:r w:rsidRPr="00DA7CAF">
        <w:rPr>
          <w:rFonts w:ascii="Times New Roman" w:hAnsi="Times New Roman" w:cs="Times New Roman"/>
          <w:sz w:val="28"/>
          <w:szCs w:val="28"/>
        </w:rPr>
        <w:t xml:space="preserve">Проблемы современного маркетинга в экономике России: теория и практика / Н. А. Аникина, Е. А. </w:t>
      </w:r>
      <w:proofErr w:type="spellStart"/>
      <w:r w:rsidRPr="00DA7CAF">
        <w:rPr>
          <w:rFonts w:ascii="Times New Roman" w:hAnsi="Times New Roman" w:cs="Times New Roman"/>
          <w:sz w:val="28"/>
          <w:szCs w:val="28"/>
        </w:rPr>
        <w:t>Мидлер</w:t>
      </w:r>
      <w:proofErr w:type="spellEnd"/>
      <w:r w:rsidRPr="00DA7CAF">
        <w:rPr>
          <w:rFonts w:ascii="Times New Roman" w:hAnsi="Times New Roman" w:cs="Times New Roman"/>
          <w:sz w:val="28"/>
          <w:szCs w:val="28"/>
        </w:rPr>
        <w:t xml:space="preserve">, В. В. </w:t>
      </w:r>
      <w:proofErr w:type="spellStart"/>
      <w:r w:rsidRPr="00DA7CAF">
        <w:rPr>
          <w:rFonts w:ascii="Times New Roman" w:hAnsi="Times New Roman" w:cs="Times New Roman"/>
          <w:sz w:val="28"/>
          <w:szCs w:val="28"/>
        </w:rPr>
        <w:t>Белолипецкая</w:t>
      </w:r>
      <w:proofErr w:type="spellEnd"/>
      <w:r w:rsidRPr="00DA7CAF">
        <w:rPr>
          <w:rFonts w:ascii="Times New Roman" w:hAnsi="Times New Roman" w:cs="Times New Roman"/>
          <w:sz w:val="28"/>
          <w:szCs w:val="28"/>
        </w:rPr>
        <w:t xml:space="preserve"> [и др.]. – Ростов-на-Дону</w:t>
      </w:r>
      <w:proofErr w:type="gramStart"/>
      <w:r w:rsidRPr="00DA7CAF">
        <w:rPr>
          <w:rFonts w:ascii="Times New Roman" w:hAnsi="Times New Roman" w:cs="Times New Roman"/>
          <w:sz w:val="28"/>
          <w:szCs w:val="28"/>
        </w:rPr>
        <w:t xml:space="preserve"> :</w:t>
      </w:r>
      <w:proofErr w:type="gramEnd"/>
      <w:r w:rsidRPr="00DA7CAF">
        <w:rPr>
          <w:rFonts w:ascii="Times New Roman" w:hAnsi="Times New Roman" w:cs="Times New Roman"/>
          <w:sz w:val="28"/>
          <w:szCs w:val="28"/>
        </w:rPr>
        <w:t xml:space="preserve"> Донской государственный технический университет, 2014. – 373 с. – ISBN </w:t>
      </w:r>
      <w:r>
        <w:rPr>
          <w:rFonts w:ascii="Times New Roman" w:hAnsi="Times New Roman" w:cs="Times New Roman"/>
          <w:sz w:val="28"/>
          <w:szCs w:val="28"/>
        </w:rPr>
        <w:t>978-5-7890-0970-3. – EDN TOHCAH</w:t>
      </w:r>
    </w:p>
    <w:p w:rsidR="00DA7CAF" w:rsidRPr="00DA7CAF" w:rsidRDefault="00DA7CAF" w:rsidP="00C4594D">
      <w:pPr>
        <w:pStyle w:val="a5"/>
        <w:numPr>
          <w:ilvl w:val="0"/>
          <w:numId w:val="3"/>
        </w:numPr>
        <w:spacing w:after="0" w:line="288" w:lineRule="auto"/>
        <w:ind w:left="0" w:firstLine="0"/>
        <w:jc w:val="both"/>
        <w:rPr>
          <w:rFonts w:ascii="Times New Roman" w:hAnsi="Times New Roman" w:cs="Times New Roman"/>
          <w:sz w:val="28"/>
          <w:szCs w:val="28"/>
        </w:rPr>
      </w:pPr>
      <w:proofErr w:type="spellStart"/>
      <w:r w:rsidRPr="00DA7CAF">
        <w:rPr>
          <w:rFonts w:ascii="Times New Roman" w:hAnsi="Times New Roman" w:cs="Times New Roman"/>
          <w:sz w:val="28"/>
          <w:szCs w:val="28"/>
        </w:rPr>
        <w:t>Мидлер</w:t>
      </w:r>
      <w:proofErr w:type="spellEnd"/>
      <w:r w:rsidRPr="00DA7CAF">
        <w:rPr>
          <w:rFonts w:ascii="Times New Roman" w:hAnsi="Times New Roman" w:cs="Times New Roman"/>
          <w:sz w:val="28"/>
          <w:szCs w:val="28"/>
        </w:rPr>
        <w:t xml:space="preserve">, Е. А. </w:t>
      </w:r>
      <w:proofErr w:type="spellStart"/>
      <w:r w:rsidRPr="00DA7CAF">
        <w:rPr>
          <w:rFonts w:ascii="Times New Roman" w:hAnsi="Times New Roman" w:cs="Times New Roman"/>
          <w:sz w:val="28"/>
          <w:szCs w:val="28"/>
        </w:rPr>
        <w:t>Глобализационный</w:t>
      </w:r>
      <w:proofErr w:type="spellEnd"/>
      <w:r w:rsidRPr="00DA7CAF">
        <w:rPr>
          <w:rFonts w:ascii="Times New Roman" w:hAnsi="Times New Roman" w:cs="Times New Roman"/>
          <w:sz w:val="28"/>
          <w:szCs w:val="28"/>
        </w:rPr>
        <w:t xml:space="preserve"> фактор диверсификации современного маркетинга / Е. А. </w:t>
      </w:r>
      <w:proofErr w:type="spellStart"/>
      <w:r w:rsidRPr="00DA7CAF">
        <w:rPr>
          <w:rFonts w:ascii="Times New Roman" w:hAnsi="Times New Roman" w:cs="Times New Roman"/>
          <w:sz w:val="28"/>
          <w:szCs w:val="28"/>
        </w:rPr>
        <w:t>Мидлер</w:t>
      </w:r>
      <w:proofErr w:type="spellEnd"/>
      <w:r w:rsidRPr="00DA7CAF">
        <w:rPr>
          <w:rFonts w:ascii="Times New Roman" w:hAnsi="Times New Roman" w:cs="Times New Roman"/>
          <w:sz w:val="28"/>
          <w:szCs w:val="28"/>
        </w:rPr>
        <w:t xml:space="preserve"> // </w:t>
      </w:r>
      <w:proofErr w:type="spellStart"/>
      <w:r w:rsidRPr="00DA7CAF">
        <w:rPr>
          <w:rFonts w:ascii="Times New Roman" w:hAnsi="Times New Roman" w:cs="Times New Roman"/>
          <w:sz w:val="28"/>
          <w:szCs w:val="28"/>
        </w:rPr>
        <w:t>Terra</w:t>
      </w:r>
      <w:proofErr w:type="spellEnd"/>
      <w:r w:rsidRPr="00DA7CAF">
        <w:rPr>
          <w:rFonts w:ascii="Times New Roman" w:hAnsi="Times New Roman" w:cs="Times New Roman"/>
          <w:sz w:val="28"/>
          <w:szCs w:val="28"/>
        </w:rPr>
        <w:t xml:space="preserve"> </w:t>
      </w:r>
      <w:proofErr w:type="spellStart"/>
      <w:r w:rsidRPr="00DA7CAF">
        <w:rPr>
          <w:rFonts w:ascii="Times New Roman" w:hAnsi="Times New Roman" w:cs="Times New Roman"/>
          <w:sz w:val="28"/>
          <w:szCs w:val="28"/>
        </w:rPr>
        <w:t>Economicus</w:t>
      </w:r>
      <w:proofErr w:type="spellEnd"/>
      <w:r w:rsidRPr="00DA7CAF">
        <w:rPr>
          <w:rFonts w:ascii="Times New Roman" w:hAnsi="Times New Roman" w:cs="Times New Roman"/>
          <w:sz w:val="28"/>
          <w:szCs w:val="28"/>
        </w:rPr>
        <w:t xml:space="preserve">. – 2013. – Т. 11, № </w:t>
      </w:r>
      <w:r>
        <w:rPr>
          <w:rFonts w:ascii="Times New Roman" w:hAnsi="Times New Roman" w:cs="Times New Roman"/>
          <w:sz w:val="28"/>
          <w:szCs w:val="28"/>
        </w:rPr>
        <w:t>2-3. – С. 106-109. – EDN RKUSMH</w:t>
      </w:r>
    </w:p>
    <w:p w:rsidR="00DA7CAF" w:rsidRPr="00DA7CAF" w:rsidRDefault="00DA7CAF" w:rsidP="00C4594D">
      <w:pPr>
        <w:pStyle w:val="a5"/>
        <w:numPr>
          <w:ilvl w:val="0"/>
          <w:numId w:val="3"/>
        </w:numPr>
        <w:spacing w:after="0" w:line="288" w:lineRule="auto"/>
        <w:ind w:left="0" w:firstLine="0"/>
        <w:jc w:val="both"/>
        <w:rPr>
          <w:rFonts w:ascii="Times New Roman" w:hAnsi="Times New Roman" w:cs="Times New Roman"/>
          <w:sz w:val="28"/>
          <w:szCs w:val="28"/>
        </w:rPr>
      </w:pPr>
      <w:proofErr w:type="spellStart"/>
      <w:r w:rsidRPr="00DA7CAF">
        <w:rPr>
          <w:rFonts w:ascii="Times New Roman" w:hAnsi="Times New Roman" w:cs="Times New Roman"/>
          <w:sz w:val="28"/>
          <w:szCs w:val="28"/>
        </w:rPr>
        <w:t>Мидлер</w:t>
      </w:r>
      <w:proofErr w:type="spellEnd"/>
      <w:r w:rsidRPr="00DA7CAF">
        <w:rPr>
          <w:rFonts w:ascii="Times New Roman" w:hAnsi="Times New Roman" w:cs="Times New Roman"/>
          <w:sz w:val="28"/>
          <w:szCs w:val="28"/>
        </w:rPr>
        <w:t xml:space="preserve">, Е. А. Цифровое неравенство в территориальном аспекте: практика преодоления / Е. А. </w:t>
      </w:r>
      <w:proofErr w:type="spellStart"/>
      <w:r w:rsidRPr="00DA7CAF">
        <w:rPr>
          <w:rFonts w:ascii="Times New Roman" w:hAnsi="Times New Roman" w:cs="Times New Roman"/>
          <w:sz w:val="28"/>
          <w:szCs w:val="28"/>
        </w:rPr>
        <w:t>Мидлер</w:t>
      </w:r>
      <w:proofErr w:type="spellEnd"/>
      <w:r w:rsidRPr="00DA7CAF">
        <w:rPr>
          <w:rFonts w:ascii="Times New Roman" w:hAnsi="Times New Roman" w:cs="Times New Roman"/>
          <w:sz w:val="28"/>
          <w:szCs w:val="28"/>
        </w:rPr>
        <w:t xml:space="preserve">, Т. Ф. </w:t>
      </w:r>
      <w:proofErr w:type="spellStart"/>
      <w:r w:rsidRPr="00DA7CAF">
        <w:rPr>
          <w:rFonts w:ascii="Times New Roman" w:hAnsi="Times New Roman" w:cs="Times New Roman"/>
          <w:sz w:val="28"/>
          <w:szCs w:val="28"/>
        </w:rPr>
        <w:t>Шарифьянов</w:t>
      </w:r>
      <w:proofErr w:type="spellEnd"/>
      <w:r w:rsidRPr="00DA7CAF">
        <w:rPr>
          <w:rFonts w:ascii="Times New Roman" w:hAnsi="Times New Roman" w:cs="Times New Roman"/>
          <w:sz w:val="28"/>
          <w:szCs w:val="28"/>
        </w:rPr>
        <w:t xml:space="preserve"> // Ученые записки Международного банковского института. – 2020. – № 2(32</w:t>
      </w:r>
      <w:r>
        <w:rPr>
          <w:rFonts w:ascii="Times New Roman" w:hAnsi="Times New Roman" w:cs="Times New Roman"/>
          <w:sz w:val="28"/>
          <w:szCs w:val="28"/>
        </w:rPr>
        <w:t>). – С. 51-63. – EDN PZGUAZ</w:t>
      </w:r>
    </w:p>
    <w:sectPr w:rsidR="00DA7CAF" w:rsidRPr="00DA7CAF" w:rsidSect="00FC3453">
      <w:pgSz w:w="11906" w:h="16838"/>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26359C"/>
    <w:multiLevelType w:val="hybridMultilevel"/>
    <w:tmpl w:val="9D544D50"/>
    <w:lvl w:ilvl="0" w:tplc="250216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2AD4846"/>
    <w:multiLevelType w:val="hybridMultilevel"/>
    <w:tmpl w:val="AFCC95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406558E"/>
    <w:multiLevelType w:val="hybridMultilevel"/>
    <w:tmpl w:val="EE7EF7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C3453"/>
    <w:rsid w:val="000115E7"/>
    <w:rsid w:val="000A63DF"/>
    <w:rsid w:val="00122E16"/>
    <w:rsid w:val="00190077"/>
    <w:rsid w:val="001A2E76"/>
    <w:rsid w:val="0022121E"/>
    <w:rsid w:val="00242F93"/>
    <w:rsid w:val="002749F3"/>
    <w:rsid w:val="002A7B9A"/>
    <w:rsid w:val="002C0836"/>
    <w:rsid w:val="002F3447"/>
    <w:rsid w:val="0030088C"/>
    <w:rsid w:val="003A7B34"/>
    <w:rsid w:val="003C34A3"/>
    <w:rsid w:val="004B2C1D"/>
    <w:rsid w:val="004F5F4C"/>
    <w:rsid w:val="0051218B"/>
    <w:rsid w:val="00537894"/>
    <w:rsid w:val="00541E18"/>
    <w:rsid w:val="00601EE9"/>
    <w:rsid w:val="00644C96"/>
    <w:rsid w:val="006F6B41"/>
    <w:rsid w:val="0071335B"/>
    <w:rsid w:val="00747157"/>
    <w:rsid w:val="00757FB8"/>
    <w:rsid w:val="007C7784"/>
    <w:rsid w:val="008333EF"/>
    <w:rsid w:val="00950567"/>
    <w:rsid w:val="00960E34"/>
    <w:rsid w:val="00964F5D"/>
    <w:rsid w:val="009F0378"/>
    <w:rsid w:val="00A37CB2"/>
    <w:rsid w:val="00AA1E1C"/>
    <w:rsid w:val="00AD470C"/>
    <w:rsid w:val="00B56604"/>
    <w:rsid w:val="00B7494B"/>
    <w:rsid w:val="00B93CFE"/>
    <w:rsid w:val="00B97809"/>
    <w:rsid w:val="00BB37B7"/>
    <w:rsid w:val="00C4594D"/>
    <w:rsid w:val="00CF19C1"/>
    <w:rsid w:val="00D839F6"/>
    <w:rsid w:val="00DA7CAF"/>
    <w:rsid w:val="00E03AB3"/>
    <w:rsid w:val="00E47AD8"/>
    <w:rsid w:val="00E56F68"/>
    <w:rsid w:val="00E71022"/>
    <w:rsid w:val="00E92E23"/>
    <w:rsid w:val="00EF0BD1"/>
    <w:rsid w:val="00F04E64"/>
    <w:rsid w:val="00F04EB0"/>
    <w:rsid w:val="00F23F89"/>
    <w:rsid w:val="00F241E9"/>
    <w:rsid w:val="00F536B2"/>
    <w:rsid w:val="00F65633"/>
    <w:rsid w:val="00FB6B80"/>
    <w:rsid w:val="00FC34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AB3"/>
  </w:style>
  <w:style w:type="paragraph" w:styleId="1">
    <w:name w:val="heading 1"/>
    <w:basedOn w:val="a"/>
    <w:link w:val="10"/>
    <w:uiPriority w:val="9"/>
    <w:qFormat/>
    <w:rsid w:val="009505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C3453"/>
    <w:rPr>
      <w:b/>
      <w:bCs/>
    </w:rPr>
  </w:style>
  <w:style w:type="character" w:styleId="a4">
    <w:name w:val="Hyperlink"/>
    <w:basedOn w:val="a0"/>
    <w:uiPriority w:val="99"/>
    <w:unhideWhenUsed/>
    <w:rsid w:val="00950567"/>
    <w:rPr>
      <w:color w:val="0563C1" w:themeColor="hyperlink"/>
      <w:u w:val="single"/>
    </w:rPr>
  </w:style>
  <w:style w:type="character" w:customStyle="1" w:styleId="10">
    <w:name w:val="Заголовок 1 Знак"/>
    <w:basedOn w:val="a0"/>
    <w:link w:val="1"/>
    <w:uiPriority w:val="9"/>
    <w:rsid w:val="00950567"/>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F23F89"/>
    <w:pPr>
      <w:ind w:left="720"/>
      <w:contextualSpacing/>
    </w:pPr>
  </w:style>
  <w:style w:type="paragraph" w:styleId="a6">
    <w:name w:val="Balloon Text"/>
    <w:basedOn w:val="a"/>
    <w:link w:val="a7"/>
    <w:uiPriority w:val="99"/>
    <w:semiHidden/>
    <w:unhideWhenUsed/>
    <w:rsid w:val="00B93C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93C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838781">
      <w:bodyDiv w:val="1"/>
      <w:marLeft w:val="0"/>
      <w:marRight w:val="0"/>
      <w:marTop w:val="0"/>
      <w:marBottom w:val="0"/>
      <w:divBdr>
        <w:top w:val="none" w:sz="0" w:space="0" w:color="auto"/>
        <w:left w:val="none" w:sz="0" w:space="0" w:color="auto"/>
        <w:bottom w:val="none" w:sz="0" w:space="0" w:color="auto"/>
        <w:right w:val="none" w:sz="0" w:space="0" w:color="auto"/>
      </w:divBdr>
    </w:div>
    <w:div w:id="132215680">
      <w:bodyDiv w:val="1"/>
      <w:marLeft w:val="0"/>
      <w:marRight w:val="0"/>
      <w:marTop w:val="0"/>
      <w:marBottom w:val="0"/>
      <w:divBdr>
        <w:top w:val="none" w:sz="0" w:space="0" w:color="auto"/>
        <w:left w:val="none" w:sz="0" w:space="0" w:color="auto"/>
        <w:bottom w:val="none" w:sz="0" w:space="0" w:color="auto"/>
        <w:right w:val="none" w:sz="0" w:space="0" w:color="auto"/>
      </w:divBdr>
    </w:div>
    <w:div w:id="757671916">
      <w:bodyDiv w:val="1"/>
      <w:marLeft w:val="0"/>
      <w:marRight w:val="0"/>
      <w:marTop w:val="0"/>
      <w:marBottom w:val="0"/>
      <w:divBdr>
        <w:top w:val="none" w:sz="0" w:space="0" w:color="auto"/>
        <w:left w:val="none" w:sz="0" w:space="0" w:color="auto"/>
        <w:bottom w:val="none" w:sz="0" w:space="0" w:color="auto"/>
        <w:right w:val="none" w:sz="0" w:space="0" w:color="auto"/>
      </w:divBdr>
    </w:div>
    <w:div w:id="1131479832">
      <w:bodyDiv w:val="1"/>
      <w:marLeft w:val="0"/>
      <w:marRight w:val="0"/>
      <w:marTop w:val="0"/>
      <w:marBottom w:val="0"/>
      <w:divBdr>
        <w:top w:val="none" w:sz="0" w:space="0" w:color="auto"/>
        <w:left w:val="none" w:sz="0" w:space="0" w:color="auto"/>
        <w:bottom w:val="none" w:sz="0" w:space="0" w:color="auto"/>
        <w:right w:val="none" w:sz="0" w:space="0" w:color="auto"/>
      </w:divBdr>
    </w:div>
    <w:div w:id="1647128448">
      <w:bodyDiv w:val="1"/>
      <w:marLeft w:val="0"/>
      <w:marRight w:val="0"/>
      <w:marTop w:val="0"/>
      <w:marBottom w:val="0"/>
      <w:divBdr>
        <w:top w:val="none" w:sz="0" w:space="0" w:color="auto"/>
        <w:left w:val="none" w:sz="0" w:space="0" w:color="auto"/>
        <w:bottom w:val="none" w:sz="0" w:space="0" w:color="auto"/>
        <w:right w:val="none" w:sz="0" w:space="0" w:color="auto"/>
      </w:divBdr>
    </w:div>
    <w:div w:id="211748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ss.ru/msp/7691051" TargetMode="External"/><Relationship Id="rId3" Type="http://schemas.openxmlformats.org/officeDocument/2006/relationships/settings" Target="settings.xml"/><Relationship Id="rId7" Type="http://schemas.openxmlformats.org/officeDocument/2006/relationships/hyperlink" Target="http://publication.pravo.gov.ru/Document/View/000120200424003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358738/" TargetMode="External"/><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hyperlink" Target="https://www.garant.ru/article/1467601/" TargetMode="External"/><Relationship Id="rId4" Type="http://schemas.openxmlformats.org/officeDocument/2006/relationships/webSettings" Target="webSettings.xml"/><Relationship Id="rId9" Type="http://schemas.openxmlformats.org/officeDocument/2006/relationships/hyperlink" Target="https://www.rbc.ru/business/03/08/2022/62e00af79a79477279576989"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5"/>
  <c:chart>
    <c:autoTitleDeleted val="1"/>
    <c:plotArea>
      <c:layout/>
      <c:pieChart>
        <c:varyColors val="1"/>
        <c:ser>
          <c:idx val="0"/>
          <c:order val="0"/>
          <c:tx>
            <c:strRef>
              <c:f>Лист1!$B$1</c:f>
              <c:strCache>
                <c:ptCount val="1"/>
                <c:pt idx="0">
                  <c:v>Столбец1</c:v>
                </c:pt>
              </c:strCache>
            </c:strRef>
          </c:tx>
          <c:spPr>
            <a:pattFill prst="pct5">
              <a:fgClr>
                <a:sysClr val="windowText" lastClr="000000"/>
              </a:fgClr>
              <a:bgClr>
                <a:schemeClr val="bg1"/>
              </a:bgClr>
            </a:pattFill>
          </c:spPr>
          <c:dPt>
            <c:idx val="0"/>
            <c:spPr>
              <a:pattFill prst="ltVert">
                <a:fgClr>
                  <a:sysClr val="windowText" lastClr="000000"/>
                </a:fgClr>
                <a:bgClr>
                  <a:schemeClr val="bg1"/>
                </a:bgClr>
              </a:pattFill>
              <a:ln>
                <a:noFill/>
              </a:ln>
              <a:effectLst/>
              <a:scene3d>
                <a:camera prst="orthographicFront"/>
                <a:lightRig rig="brightRoom" dir="t"/>
              </a:scene3d>
              <a:sp3d prstMaterial="flat">
                <a:bevelT w="50800" h="101600" prst="angle"/>
                <a:contourClr>
                  <a:srgbClr val="000000"/>
                </a:contourClr>
              </a:sp3d>
            </c:spPr>
          </c:dPt>
          <c:dPt>
            <c:idx val="1"/>
            <c:spPr>
              <a:pattFill prst="pct5">
                <a:fgClr>
                  <a:sysClr val="windowText" lastClr="000000"/>
                </a:fgClr>
                <a:bgClr>
                  <a:schemeClr val="bg1"/>
                </a:bgClr>
              </a:pattFill>
              <a:ln>
                <a:noFill/>
              </a:ln>
              <a:effectLst/>
              <a:scene3d>
                <a:camera prst="orthographicFront"/>
                <a:lightRig rig="brightRoom" dir="t"/>
              </a:scene3d>
              <a:sp3d prstMaterial="flat">
                <a:bevelT w="50800" h="101600" prst="angle"/>
                <a:contourClr>
                  <a:srgbClr val="000000"/>
                </a:contourClr>
              </a:sp3d>
            </c:spPr>
          </c:dPt>
          <c:dPt>
            <c:idx val="2"/>
            <c:spPr>
              <a:pattFill prst="ltUpDiag">
                <a:fgClr>
                  <a:sysClr val="windowText" lastClr="000000"/>
                </a:fgClr>
                <a:bgClr>
                  <a:schemeClr val="bg1"/>
                </a:bgClr>
              </a:patt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Percent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Высокий уровень цифровизации</c:v>
                </c:pt>
                <c:pt idx="1">
                  <c:v>Средний уровень цифровизации</c:v>
                </c:pt>
                <c:pt idx="2">
                  <c:v>Низкий уровень цифровизации</c:v>
                </c:pt>
              </c:strCache>
            </c:strRef>
          </c:cat>
          <c:val>
            <c:numRef>
              <c:f>Лист1!$B$2:$B$4</c:f>
              <c:numCache>
                <c:formatCode>0%</c:formatCode>
                <c:ptCount val="3"/>
                <c:pt idx="0">
                  <c:v>0.16000000000000003</c:v>
                </c:pt>
                <c:pt idx="1">
                  <c:v>0.72000000000000064</c:v>
                </c:pt>
                <c:pt idx="2">
                  <c:v>0.12000000000000002</c:v>
                </c:pt>
              </c:numCache>
            </c:numRef>
          </c:val>
        </c:ser>
        <c:dLbls>
          <c:showPercent val="1"/>
        </c:dLbls>
        <c:firstSliceAng val="0"/>
      </c:pieChart>
      <c:spPr>
        <a:noFill/>
        <a:ln>
          <a:noFill/>
        </a:ln>
        <a:effectLst/>
      </c:spPr>
    </c:plotArea>
    <c:legend>
      <c:legendPos val="r"/>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solidFill>
      <a:schemeClr val="bg1"/>
    </a:solidFill>
    <a:ln w="9525" cap="flat" cmpd="sng" algn="ctr">
      <a:solidFill>
        <a:schemeClr val="bg1"/>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2725</Words>
  <Characters>15533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Анна</Company>
  <LinksUpToDate>false</LinksUpToDate>
  <CharactersWithSpaces>18222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3</cp:revision>
  <dcterms:created xsi:type="dcterms:W3CDTF">2023-03-03T22:19:00Z</dcterms:created>
  <dcterms:modified xsi:type="dcterms:W3CDTF">2023-03-04T14:05:00Z</dcterms:modified>
</cp:coreProperties>
</file>