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3B" w:rsidRPr="00385F3B" w:rsidRDefault="00385F3B" w:rsidP="00385F3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УДК: </w:t>
      </w:r>
      <w:r w:rsidR="00DD39FD">
        <w:rPr>
          <w:rFonts w:ascii="Times New Roman" w:hAnsi="Times New Roman" w:cs="Times New Roman"/>
          <w:bCs/>
          <w:sz w:val="28"/>
          <w:szCs w:val="28"/>
        </w:rPr>
        <w:t>339.72</w:t>
      </w:r>
    </w:p>
    <w:p w:rsidR="00C5643B" w:rsidRPr="00385F3B" w:rsidRDefault="00C5643B" w:rsidP="00385F3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Глухов</w:t>
      </w:r>
      <w:r w:rsidRPr="00385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В.А.</w:t>
      </w:r>
    </w:p>
    <w:p w:rsidR="00C5643B" w:rsidRPr="00385F3B" w:rsidRDefault="00C5643B" w:rsidP="00385F3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</w:t>
      </w:r>
      <w:r w:rsidRPr="0038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8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аучный </w:t>
      </w:r>
      <w:r w:rsidRPr="0038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8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 Центра международных финансов</w:t>
      </w:r>
    </w:p>
    <w:p w:rsidR="00C5643B" w:rsidRPr="00385F3B" w:rsidRDefault="00C5643B" w:rsidP="00385F3B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Федерация, г. Москва</w:t>
      </w:r>
    </w:p>
    <w:p w:rsidR="00C5643B" w:rsidRPr="00385F3B" w:rsidRDefault="00C5643B" w:rsidP="00385F3B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ФГБУ Научно-исследовательский финансовый институт (НИФИ) Минфина России</w:t>
      </w:r>
      <w:r w:rsidRPr="00385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85F3B" w:rsidRPr="00643701" w:rsidRDefault="00C5643B" w:rsidP="00643701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3701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85F3B" w:rsidRPr="00643701" w:rsidRDefault="00643701" w:rsidP="0064370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701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DD39FD">
        <w:rPr>
          <w:rFonts w:ascii="Times New Roman" w:hAnsi="Times New Roman" w:cs="Times New Roman"/>
          <w:sz w:val="24"/>
          <w:szCs w:val="24"/>
        </w:rPr>
        <w:t>анализируются</w:t>
      </w:r>
      <w:r w:rsidRPr="00643701">
        <w:rPr>
          <w:rFonts w:ascii="Times New Roman" w:hAnsi="Times New Roman" w:cs="Times New Roman"/>
          <w:sz w:val="24"/>
          <w:szCs w:val="24"/>
        </w:rPr>
        <w:t xml:space="preserve"> международны</w:t>
      </w:r>
      <w:r w:rsidR="00DD39FD">
        <w:rPr>
          <w:rFonts w:ascii="Times New Roman" w:hAnsi="Times New Roman" w:cs="Times New Roman"/>
          <w:sz w:val="24"/>
          <w:szCs w:val="24"/>
        </w:rPr>
        <w:t>е</w:t>
      </w:r>
      <w:r w:rsidRPr="00643701">
        <w:rPr>
          <w:rFonts w:ascii="Times New Roman" w:hAnsi="Times New Roman" w:cs="Times New Roman"/>
          <w:sz w:val="24"/>
          <w:szCs w:val="24"/>
        </w:rPr>
        <w:t xml:space="preserve"> организаций, которые в своей деятельности уделяют внимание </w:t>
      </w:r>
      <w:r w:rsidRPr="00643701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643701">
        <w:rPr>
          <w:rFonts w:ascii="Times New Roman" w:hAnsi="Times New Roman" w:cs="Times New Roman"/>
          <w:sz w:val="24"/>
          <w:szCs w:val="24"/>
        </w:rPr>
        <w:t>-повестке.</w:t>
      </w:r>
      <w:r w:rsidR="00C5643B" w:rsidRPr="00643701">
        <w:rPr>
          <w:rFonts w:ascii="Times New Roman" w:hAnsi="Times New Roman" w:cs="Times New Roman"/>
          <w:sz w:val="24"/>
          <w:szCs w:val="24"/>
        </w:rPr>
        <w:t xml:space="preserve"> </w:t>
      </w:r>
      <w:r w:rsidR="00DD39FD">
        <w:rPr>
          <w:rFonts w:ascii="Times New Roman" w:hAnsi="Times New Roman" w:cs="Times New Roman"/>
          <w:sz w:val="24"/>
          <w:szCs w:val="24"/>
        </w:rPr>
        <w:t>Изучаются</w:t>
      </w:r>
      <w:r w:rsidRPr="00643701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DD39FD">
        <w:rPr>
          <w:rFonts w:ascii="Times New Roman" w:hAnsi="Times New Roman" w:cs="Times New Roman"/>
          <w:sz w:val="24"/>
          <w:szCs w:val="24"/>
        </w:rPr>
        <w:t>ы</w:t>
      </w:r>
      <w:r w:rsidRPr="00643701">
        <w:rPr>
          <w:rFonts w:ascii="Times New Roman" w:hAnsi="Times New Roman" w:cs="Times New Roman"/>
          <w:sz w:val="24"/>
          <w:szCs w:val="24"/>
        </w:rPr>
        <w:t xml:space="preserve"> этих организаций в части </w:t>
      </w:r>
      <w:r w:rsidRPr="00643701">
        <w:rPr>
          <w:rFonts w:ascii="Times New Roman" w:hAnsi="Times New Roman" w:cs="Times New Roman"/>
          <w:sz w:val="24"/>
          <w:szCs w:val="24"/>
        </w:rPr>
        <w:t xml:space="preserve">предъявляемых </w:t>
      </w:r>
      <w:r w:rsidRPr="00643701">
        <w:rPr>
          <w:rFonts w:ascii="Times New Roman" w:hAnsi="Times New Roman" w:cs="Times New Roman"/>
          <w:sz w:val="24"/>
          <w:szCs w:val="24"/>
        </w:rPr>
        <w:t xml:space="preserve">к </w:t>
      </w:r>
      <w:r w:rsidR="00DD39FD">
        <w:rPr>
          <w:rFonts w:ascii="Times New Roman" w:hAnsi="Times New Roman" w:cs="Times New Roman"/>
          <w:sz w:val="24"/>
          <w:szCs w:val="24"/>
        </w:rPr>
        <w:t xml:space="preserve">компаниям </w:t>
      </w:r>
      <w:r w:rsidRPr="00643701">
        <w:rPr>
          <w:rFonts w:ascii="Times New Roman" w:hAnsi="Times New Roman" w:cs="Times New Roman"/>
          <w:sz w:val="24"/>
          <w:szCs w:val="24"/>
        </w:rPr>
        <w:t>финансов</w:t>
      </w:r>
      <w:r w:rsidR="00DD39FD">
        <w:rPr>
          <w:rFonts w:ascii="Times New Roman" w:hAnsi="Times New Roman" w:cs="Times New Roman"/>
          <w:sz w:val="24"/>
          <w:szCs w:val="24"/>
        </w:rPr>
        <w:t>ого сектора</w:t>
      </w:r>
      <w:r w:rsidRPr="00643701">
        <w:rPr>
          <w:rFonts w:ascii="Times New Roman" w:hAnsi="Times New Roman" w:cs="Times New Roman"/>
          <w:sz w:val="24"/>
          <w:szCs w:val="24"/>
        </w:rPr>
        <w:t xml:space="preserve"> </w:t>
      </w:r>
      <w:r w:rsidRPr="00643701">
        <w:rPr>
          <w:rFonts w:ascii="Times New Roman" w:hAnsi="Times New Roman" w:cs="Times New Roman"/>
          <w:sz w:val="24"/>
          <w:szCs w:val="24"/>
        </w:rPr>
        <w:t>требований</w:t>
      </w:r>
      <w:r w:rsidRPr="00643701">
        <w:rPr>
          <w:rFonts w:ascii="Times New Roman" w:hAnsi="Times New Roman" w:cs="Times New Roman"/>
          <w:sz w:val="24"/>
          <w:szCs w:val="24"/>
        </w:rPr>
        <w:t xml:space="preserve"> к учету </w:t>
      </w:r>
      <w:r w:rsidRPr="00643701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643701">
        <w:rPr>
          <w:rFonts w:ascii="Times New Roman" w:hAnsi="Times New Roman" w:cs="Times New Roman"/>
          <w:sz w:val="24"/>
          <w:szCs w:val="24"/>
        </w:rPr>
        <w:t xml:space="preserve">-рисков и </w:t>
      </w:r>
      <w:r w:rsidRPr="00643701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643701">
        <w:rPr>
          <w:rFonts w:ascii="Times New Roman" w:hAnsi="Times New Roman" w:cs="Times New Roman"/>
          <w:sz w:val="24"/>
          <w:szCs w:val="24"/>
        </w:rPr>
        <w:t>-отчетности.</w:t>
      </w:r>
    </w:p>
    <w:p w:rsidR="00385F3B" w:rsidRPr="00643701" w:rsidRDefault="00C5643B" w:rsidP="00643701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3701">
        <w:rPr>
          <w:rFonts w:ascii="Times New Roman" w:hAnsi="Times New Roman" w:cs="Times New Roman"/>
          <w:b/>
          <w:sz w:val="24"/>
          <w:szCs w:val="24"/>
        </w:rPr>
        <w:t>Ключевые слова</w:t>
      </w:r>
    </w:p>
    <w:p w:rsidR="00385F3B" w:rsidRPr="00643701" w:rsidRDefault="00643701" w:rsidP="0064370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701">
        <w:rPr>
          <w:rFonts w:ascii="Times New Roman" w:hAnsi="Times New Roman" w:cs="Times New Roman"/>
          <w:sz w:val="24"/>
          <w:szCs w:val="24"/>
        </w:rPr>
        <w:t xml:space="preserve">Финансовая деятельность, финансовые риски, финансовая отчетность, </w:t>
      </w:r>
      <w:r w:rsidRPr="00643701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643701">
        <w:rPr>
          <w:rFonts w:ascii="Times New Roman" w:hAnsi="Times New Roman" w:cs="Times New Roman"/>
          <w:sz w:val="24"/>
          <w:szCs w:val="24"/>
        </w:rPr>
        <w:t>-риски</w:t>
      </w:r>
      <w:r w:rsidR="00C5643B" w:rsidRPr="00643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701" w:rsidRDefault="00643701" w:rsidP="0064370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3701" w:rsidRPr="00385F3B" w:rsidRDefault="00643701" w:rsidP="00643701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ESG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-РИСКОВ В ФИНАНСОВОЙ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РАМКИ, ФОРМИРУЕМЫЕ МЕЖДУНАРОДНЫМИ ОРГАНИЗАЦИЯМИ</w:t>
      </w:r>
    </w:p>
    <w:p w:rsidR="00643701" w:rsidRPr="00643701" w:rsidRDefault="00643701" w:rsidP="0064370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43701" w:rsidRPr="00DD39FD" w:rsidRDefault="00643701" w:rsidP="0064370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D39FD">
        <w:rPr>
          <w:rFonts w:ascii="Times New Roman" w:hAnsi="Times New Roman" w:cs="Times New Roman"/>
          <w:b/>
          <w:sz w:val="28"/>
          <w:szCs w:val="28"/>
          <w:lang w:val="en-US"/>
        </w:rPr>
        <w:t>Glukhov</w:t>
      </w:r>
      <w:proofErr w:type="spellEnd"/>
      <w:r w:rsidRPr="00DD39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D39FD">
        <w:rPr>
          <w:rFonts w:ascii="Times New Roman" w:hAnsi="Times New Roman" w:cs="Times New Roman"/>
          <w:b/>
          <w:sz w:val="28"/>
          <w:szCs w:val="28"/>
          <w:lang w:val="en-US"/>
        </w:rPr>
        <w:t>V.A.</w:t>
      </w:r>
    </w:p>
    <w:p w:rsidR="00643701" w:rsidRPr="00DD39FD" w:rsidRDefault="00643701" w:rsidP="0053310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9FD">
        <w:rPr>
          <w:rFonts w:ascii="Times New Roman" w:hAnsi="Times New Roman" w:cs="Times New Roman"/>
          <w:sz w:val="28"/>
          <w:szCs w:val="28"/>
          <w:lang w:val="en-US"/>
        </w:rPr>
        <w:t xml:space="preserve">Junior </w:t>
      </w:r>
      <w:r w:rsidR="00533108" w:rsidRPr="00DD39FD">
        <w:rPr>
          <w:rFonts w:ascii="Times New Roman" w:hAnsi="Times New Roman" w:cs="Times New Roman"/>
          <w:sz w:val="28"/>
          <w:szCs w:val="28"/>
          <w:lang w:val="en-US"/>
        </w:rPr>
        <w:t>Researcher of International Finance Centre</w:t>
      </w:r>
      <w:r w:rsidR="00533108" w:rsidRPr="00DD39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43701" w:rsidRPr="00DD39FD" w:rsidRDefault="00643701" w:rsidP="0053310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9FD">
        <w:rPr>
          <w:rFonts w:ascii="Times New Roman" w:hAnsi="Times New Roman" w:cs="Times New Roman"/>
          <w:sz w:val="28"/>
          <w:szCs w:val="28"/>
          <w:lang w:val="en-US"/>
        </w:rPr>
        <w:t>Russian Federation, Moscow</w:t>
      </w:r>
    </w:p>
    <w:p w:rsidR="00DD39FD" w:rsidRPr="00DD39FD" w:rsidRDefault="00533108" w:rsidP="00DD39FD">
      <w:pPr>
        <w:tabs>
          <w:tab w:val="left" w:pos="1164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39FD">
        <w:rPr>
          <w:rFonts w:ascii="Times New Roman" w:hAnsi="Times New Roman" w:cs="Times New Roman"/>
          <w:sz w:val="28"/>
          <w:szCs w:val="28"/>
          <w:lang w:val="en-US"/>
        </w:rPr>
        <w:t>Financial Research Institute of the Ministry of Finance of the Russian Federation</w:t>
      </w:r>
      <w:r w:rsidRPr="00DD39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F1836" w:rsidRPr="00177B9A" w:rsidRDefault="003F1836" w:rsidP="003F183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7B9A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3F1836" w:rsidRPr="00177B9A" w:rsidRDefault="003F1836" w:rsidP="003F18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B9A">
        <w:rPr>
          <w:rFonts w:ascii="Times New Roman" w:hAnsi="Times New Roman" w:cs="Times New Roman"/>
          <w:sz w:val="24"/>
          <w:szCs w:val="24"/>
          <w:lang w:val="en-US"/>
        </w:rPr>
        <w:t xml:space="preserve">The article analyzes the international </w:t>
      </w:r>
      <w:proofErr w:type="gramStart"/>
      <w:r w:rsidRPr="00177B9A">
        <w:rPr>
          <w:rFonts w:ascii="Times New Roman" w:hAnsi="Times New Roman" w:cs="Times New Roman"/>
          <w:sz w:val="24"/>
          <w:szCs w:val="24"/>
          <w:lang w:val="en-US"/>
        </w:rPr>
        <w:t>organizations which</w:t>
      </w:r>
      <w:proofErr w:type="gramEnd"/>
      <w:r w:rsidRPr="00177B9A">
        <w:rPr>
          <w:rFonts w:ascii="Times New Roman" w:hAnsi="Times New Roman" w:cs="Times New Roman"/>
          <w:sz w:val="24"/>
          <w:szCs w:val="24"/>
          <w:lang w:val="en-US"/>
        </w:rPr>
        <w:t xml:space="preserve"> pay attention to the ESG agenda in their activities. The approaches of these organizations to the requirements for ESG-risk accounting and ESG-reporting made to the companies of the financial sector are studied.</w:t>
      </w:r>
    </w:p>
    <w:p w:rsidR="003F1836" w:rsidRPr="003F1836" w:rsidRDefault="003F1836" w:rsidP="003F1836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1836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</w:p>
    <w:p w:rsidR="003F1836" w:rsidRPr="00177B9A" w:rsidRDefault="003F1836" w:rsidP="003F18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7B9A">
        <w:rPr>
          <w:rFonts w:ascii="Times New Roman" w:hAnsi="Times New Roman" w:cs="Times New Roman"/>
          <w:sz w:val="24"/>
          <w:szCs w:val="24"/>
          <w:lang w:val="en-US"/>
        </w:rPr>
        <w:t>Financial activity, financial risks, financial reporting, ESG-risks</w:t>
      </w:r>
    </w:p>
    <w:p w:rsidR="00533108" w:rsidRDefault="00533108" w:rsidP="0064370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1202" w:rsidRDefault="00643701" w:rsidP="0064370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701">
        <w:rPr>
          <w:rFonts w:ascii="Times New Roman" w:hAnsi="Times New Roman" w:cs="Times New Roman"/>
          <w:b/>
          <w:sz w:val="28"/>
          <w:szCs w:val="28"/>
          <w:lang w:val="en-US"/>
        </w:rPr>
        <w:t>ACCOUNTING FOR ESG-RISKS IN FINANCIAL ACTIVITIES: THE FRAMEWORK FORMED BY INTERNATIONAL ORGANIZATIONS</w:t>
      </w:r>
    </w:p>
    <w:p w:rsidR="00D951AC" w:rsidRDefault="00D951AC" w:rsidP="00D951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51AC" w:rsidRDefault="003F1836" w:rsidP="00D951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36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1AC" w:rsidRPr="00A5263E">
        <w:rPr>
          <w:rFonts w:ascii="Times New Roman" w:hAnsi="Times New Roman" w:cs="Times New Roman"/>
          <w:sz w:val="28"/>
          <w:szCs w:val="28"/>
        </w:rPr>
        <w:t xml:space="preserve">Важнейшей функцией финансовых рынков является оценка потенциальных рисков для обоснования решений о распределении капитала. Раскрытие финансовых результатов текущей и прошлой деятельности играет первостепенную роль в реализации этой функции. </w:t>
      </w:r>
      <w:r w:rsidR="00D951AC" w:rsidRPr="007E511F">
        <w:rPr>
          <w:rFonts w:ascii="Times New Roman" w:hAnsi="Times New Roman" w:cs="Times New Roman"/>
          <w:sz w:val="28"/>
          <w:szCs w:val="28"/>
        </w:rPr>
        <w:t xml:space="preserve">Без </w:t>
      </w:r>
      <w:r w:rsidR="00D951AC">
        <w:rPr>
          <w:rFonts w:ascii="Times New Roman" w:hAnsi="Times New Roman" w:cs="Times New Roman"/>
          <w:sz w:val="28"/>
          <w:szCs w:val="28"/>
        </w:rPr>
        <w:t>качественной</w:t>
      </w:r>
      <w:r w:rsidR="00D951AC" w:rsidRPr="007E511F">
        <w:rPr>
          <w:rFonts w:ascii="Times New Roman" w:hAnsi="Times New Roman" w:cs="Times New Roman"/>
          <w:sz w:val="28"/>
          <w:szCs w:val="28"/>
        </w:rPr>
        <w:t xml:space="preserve"> информации инвесторы могут неправильно оценивать активы, что </w:t>
      </w:r>
      <w:r w:rsidR="00D951AC">
        <w:rPr>
          <w:rFonts w:ascii="Times New Roman" w:hAnsi="Times New Roman" w:cs="Times New Roman"/>
          <w:sz w:val="28"/>
          <w:szCs w:val="28"/>
        </w:rPr>
        <w:t>может привести и фактически приводит</w:t>
      </w:r>
      <w:r w:rsidR="00D951AC" w:rsidRPr="007E511F">
        <w:rPr>
          <w:rFonts w:ascii="Times New Roman" w:hAnsi="Times New Roman" w:cs="Times New Roman"/>
          <w:sz w:val="28"/>
          <w:szCs w:val="28"/>
        </w:rPr>
        <w:t xml:space="preserve"> к </w:t>
      </w:r>
      <w:r w:rsidR="00D951AC">
        <w:rPr>
          <w:rFonts w:ascii="Times New Roman" w:hAnsi="Times New Roman" w:cs="Times New Roman"/>
          <w:sz w:val="28"/>
          <w:szCs w:val="28"/>
        </w:rPr>
        <w:t>ошибкам</w:t>
      </w:r>
      <w:r w:rsidR="00D951AC" w:rsidRPr="007E511F">
        <w:rPr>
          <w:rFonts w:ascii="Times New Roman" w:hAnsi="Times New Roman" w:cs="Times New Roman"/>
          <w:sz w:val="28"/>
          <w:szCs w:val="28"/>
        </w:rPr>
        <w:t xml:space="preserve"> </w:t>
      </w:r>
      <w:r w:rsidR="00D951AC">
        <w:rPr>
          <w:rFonts w:ascii="Times New Roman" w:hAnsi="Times New Roman" w:cs="Times New Roman"/>
          <w:sz w:val="28"/>
          <w:szCs w:val="28"/>
        </w:rPr>
        <w:t xml:space="preserve">при </w:t>
      </w:r>
      <w:r w:rsidR="00D951AC" w:rsidRPr="007E511F">
        <w:rPr>
          <w:rFonts w:ascii="Times New Roman" w:hAnsi="Times New Roman" w:cs="Times New Roman"/>
          <w:sz w:val="28"/>
          <w:szCs w:val="28"/>
        </w:rPr>
        <w:t>распределени</w:t>
      </w:r>
      <w:r w:rsidR="00D951AC">
        <w:rPr>
          <w:rFonts w:ascii="Times New Roman" w:hAnsi="Times New Roman" w:cs="Times New Roman"/>
          <w:sz w:val="28"/>
          <w:szCs w:val="28"/>
        </w:rPr>
        <w:t>и</w:t>
      </w:r>
      <w:r w:rsidR="00D951AC" w:rsidRPr="007E511F">
        <w:rPr>
          <w:rFonts w:ascii="Times New Roman" w:hAnsi="Times New Roman" w:cs="Times New Roman"/>
          <w:sz w:val="28"/>
          <w:szCs w:val="28"/>
        </w:rPr>
        <w:t xml:space="preserve"> капитала.</w:t>
      </w:r>
      <w:r w:rsidR="00D951AC">
        <w:rPr>
          <w:rFonts w:ascii="Times New Roman" w:hAnsi="Times New Roman" w:cs="Times New Roman"/>
          <w:sz w:val="28"/>
          <w:szCs w:val="28"/>
        </w:rPr>
        <w:t xml:space="preserve"> П</w:t>
      </w:r>
      <w:r w:rsidR="00D951AC" w:rsidRPr="005C353A">
        <w:rPr>
          <w:rFonts w:ascii="Times New Roman" w:hAnsi="Times New Roman" w:cs="Times New Roman"/>
          <w:sz w:val="28"/>
          <w:szCs w:val="28"/>
        </w:rPr>
        <w:t xml:space="preserve">овышение прозрачности делает рынки более эффективными, а экономику более </w:t>
      </w:r>
      <w:r w:rsidR="00D951AC">
        <w:rPr>
          <w:rFonts w:ascii="Times New Roman" w:hAnsi="Times New Roman" w:cs="Times New Roman"/>
          <w:sz w:val="28"/>
          <w:szCs w:val="28"/>
        </w:rPr>
        <w:t>устойчивой</w:t>
      </w:r>
      <w:r w:rsidR="00D951AC" w:rsidRPr="005C353A">
        <w:rPr>
          <w:rFonts w:ascii="Times New Roman" w:hAnsi="Times New Roman" w:cs="Times New Roman"/>
          <w:sz w:val="28"/>
          <w:szCs w:val="28"/>
        </w:rPr>
        <w:t>.</w:t>
      </w:r>
      <w:r w:rsidR="00D951AC">
        <w:rPr>
          <w:rFonts w:ascii="Times New Roman" w:hAnsi="Times New Roman" w:cs="Times New Roman"/>
          <w:sz w:val="28"/>
          <w:szCs w:val="28"/>
        </w:rPr>
        <w:t xml:space="preserve"> На эти ключевые положения опираются международные </w:t>
      </w:r>
      <w:r w:rsidR="00D951A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призванные формировать рамки для деятельности финансовых компаний. Важной задачей, которая признается сегодня многими подобными организациями – это создание для финансовых компаний четких ориентиров по учету </w:t>
      </w:r>
      <w:r w:rsidR="00D951AC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D951AC">
        <w:rPr>
          <w:rFonts w:ascii="Times New Roman" w:hAnsi="Times New Roman" w:cs="Times New Roman"/>
          <w:sz w:val="28"/>
          <w:szCs w:val="28"/>
        </w:rPr>
        <w:t xml:space="preserve">-рисков при принятии бизнес-решений. Под </w:t>
      </w:r>
      <w:r w:rsidR="00D951AC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D951AC">
        <w:rPr>
          <w:rFonts w:ascii="Times New Roman" w:hAnsi="Times New Roman" w:cs="Times New Roman"/>
          <w:sz w:val="28"/>
          <w:szCs w:val="28"/>
        </w:rPr>
        <w:t xml:space="preserve">-рисками обычно понимается целый комплекс рисков, которые возникают у компаний в разрезе таких направлений как экология, социальная сфера и эффективное управление. Эти риски описываются терминами концепции устойчивого развития, а необходимость их учета компаниями при принятии деловых решений </w:t>
      </w:r>
      <w:r w:rsidR="00F66B14">
        <w:rPr>
          <w:rFonts w:ascii="Times New Roman" w:hAnsi="Times New Roman" w:cs="Times New Roman"/>
          <w:sz w:val="28"/>
          <w:szCs w:val="28"/>
        </w:rPr>
        <w:t xml:space="preserve">обосновывается наличием </w:t>
      </w:r>
      <w:r w:rsidR="00D951AC">
        <w:rPr>
          <w:rFonts w:ascii="Times New Roman" w:hAnsi="Times New Roman" w:cs="Times New Roman"/>
          <w:sz w:val="28"/>
          <w:szCs w:val="28"/>
        </w:rPr>
        <w:t>широкого спектра неэкономических факторов, которые могут в будущем привести к возникновению реальных экономических ущербов в связи с реализацией негативных событий в сфере экологии</w:t>
      </w:r>
      <w:r w:rsidR="007074B9">
        <w:rPr>
          <w:rFonts w:ascii="Times New Roman" w:hAnsi="Times New Roman" w:cs="Times New Roman"/>
          <w:sz w:val="28"/>
          <w:szCs w:val="28"/>
        </w:rPr>
        <w:t xml:space="preserve"> и</w:t>
      </w:r>
      <w:r w:rsidR="00D951AC">
        <w:rPr>
          <w:rFonts w:ascii="Times New Roman" w:hAnsi="Times New Roman" w:cs="Times New Roman"/>
          <w:sz w:val="28"/>
          <w:szCs w:val="28"/>
        </w:rPr>
        <w:t xml:space="preserve"> социума </w:t>
      </w:r>
      <w:r w:rsidR="00F66B14">
        <w:rPr>
          <w:rFonts w:ascii="Times New Roman" w:hAnsi="Times New Roman" w:cs="Times New Roman"/>
          <w:sz w:val="28"/>
          <w:szCs w:val="28"/>
        </w:rPr>
        <w:t>в границах территорий, где компания осуществляет свою деятельность, а также в сфере</w:t>
      </w:r>
      <w:r w:rsidR="00D951AC">
        <w:rPr>
          <w:rFonts w:ascii="Times New Roman" w:hAnsi="Times New Roman" w:cs="Times New Roman"/>
          <w:sz w:val="28"/>
          <w:szCs w:val="28"/>
        </w:rPr>
        <w:t xml:space="preserve"> управления компанией. </w:t>
      </w:r>
    </w:p>
    <w:p w:rsidR="00F66B14" w:rsidRDefault="00F66B14" w:rsidP="00D951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исследования рассмотрим подходы, которые реализуются тремя международными организациями, играющими значительную роль </w:t>
      </w:r>
      <w:r w:rsidR="003F18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регулировании деятельности финансовых компаний независимо от секторальной принадлежности, так и и</w:t>
      </w:r>
      <w:r w:rsidR="003F183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ющих </w:t>
      </w:r>
      <w:r w:rsidR="003F1836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>знач</w:t>
      </w:r>
      <w:r w:rsidR="003F1836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F18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отдельных финансовых секторов (страхование, пенсионные фонды). </w:t>
      </w:r>
    </w:p>
    <w:p w:rsidR="00F66B14" w:rsidRPr="00425EF6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905ED">
        <w:rPr>
          <w:rFonts w:ascii="Times New Roman" w:hAnsi="Times New Roman" w:cs="Times New Roman"/>
          <w:b/>
          <w:sz w:val="28"/>
          <w:szCs w:val="28"/>
        </w:rPr>
        <w:t>Целевая группа по раскрытию финансовой информации, связанной с климатом (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>Task</w:t>
      </w:r>
      <w:r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>Force</w:t>
      </w:r>
      <w:r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>Climate</w:t>
      </w:r>
      <w:r w:rsidRPr="005905ED">
        <w:rPr>
          <w:rFonts w:ascii="Times New Roman" w:hAnsi="Times New Roman" w:cs="Times New Roman"/>
          <w:b/>
          <w:sz w:val="28"/>
          <w:szCs w:val="28"/>
        </w:rPr>
        <w:t>-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>related</w:t>
      </w:r>
      <w:r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>Financial</w:t>
      </w:r>
      <w:r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>Disclosures</w:t>
      </w:r>
      <w:r w:rsidRPr="005905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>TCFD</w:t>
      </w:r>
      <w:r w:rsidRPr="005905ED">
        <w:rPr>
          <w:rFonts w:ascii="Times New Roman" w:hAnsi="Times New Roman" w:cs="Times New Roman"/>
          <w:b/>
          <w:sz w:val="28"/>
          <w:szCs w:val="28"/>
        </w:rPr>
        <w:t>)</w:t>
      </w:r>
      <w:r w:rsidR="00425EF6" w:rsidRPr="005905ED">
        <w:rPr>
          <w:rFonts w:ascii="Times New Roman" w:hAnsi="Times New Roman" w:cs="Times New Roman"/>
          <w:b/>
          <w:sz w:val="28"/>
          <w:szCs w:val="28"/>
        </w:rPr>
        <w:t>.</w:t>
      </w:r>
    </w:p>
    <w:p w:rsidR="003F1836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53">
        <w:rPr>
          <w:rFonts w:ascii="Times New Roman" w:hAnsi="Times New Roman" w:cs="Times New Roman"/>
          <w:sz w:val="28"/>
          <w:szCs w:val="28"/>
        </w:rPr>
        <w:t xml:space="preserve">В 2018 году TCFD опубликовала </w:t>
      </w:r>
      <w:r w:rsidR="00425EF6">
        <w:rPr>
          <w:rFonts w:ascii="Times New Roman" w:hAnsi="Times New Roman" w:cs="Times New Roman"/>
          <w:sz w:val="28"/>
          <w:szCs w:val="28"/>
        </w:rPr>
        <w:t>«</w:t>
      </w:r>
      <w:r w:rsidR="00425EF6" w:rsidRPr="00FB2B4F">
        <w:rPr>
          <w:rFonts w:ascii="Times New Roman" w:hAnsi="Times New Roman" w:cs="Times New Roman"/>
          <w:sz w:val="28"/>
          <w:szCs w:val="28"/>
        </w:rPr>
        <w:t>Рекомендации Целевой группы по раскрытию финансовой информации, связанной с климатом</w:t>
      </w:r>
      <w:r w:rsidR="00425EF6">
        <w:rPr>
          <w:rFonts w:ascii="Times New Roman" w:hAnsi="Times New Roman" w:cs="Times New Roman"/>
          <w:sz w:val="28"/>
          <w:szCs w:val="28"/>
        </w:rPr>
        <w:t>»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(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Recommendations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Task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Force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Climate</w:t>
      </w:r>
      <w:r w:rsidR="00425EF6" w:rsidRPr="00FB2B4F">
        <w:rPr>
          <w:rFonts w:ascii="Times New Roman" w:hAnsi="Times New Roman" w:cs="Times New Roman"/>
          <w:sz w:val="28"/>
          <w:szCs w:val="28"/>
        </w:rPr>
        <w:t>-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related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="00425EF6" w:rsidRPr="00FB2B4F">
        <w:rPr>
          <w:rFonts w:ascii="Times New Roman" w:hAnsi="Times New Roman" w:cs="Times New Roman"/>
          <w:sz w:val="28"/>
          <w:szCs w:val="28"/>
        </w:rPr>
        <w:t xml:space="preserve"> </w:t>
      </w:r>
      <w:r w:rsidR="00425EF6" w:rsidRPr="00FB2B4F">
        <w:rPr>
          <w:rFonts w:ascii="Times New Roman" w:hAnsi="Times New Roman" w:cs="Times New Roman"/>
          <w:sz w:val="28"/>
          <w:szCs w:val="28"/>
          <w:lang w:val="en-US"/>
        </w:rPr>
        <w:t>Disclosures</w:t>
      </w:r>
      <w:r w:rsidR="00425EF6">
        <w:rPr>
          <w:rFonts w:ascii="Times New Roman" w:hAnsi="Times New Roman" w:cs="Times New Roman"/>
          <w:sz w:val="28"/>
          <w:szCs w:val="28"/>
        </w:rPr>
        <w:t>)</w:t>
      </w:r>
      <w:r w:rsidR="00425EF6" w:rsidRPr="00FB2B4F">
        <w:rPr>
          <w:rStyle w:val="a6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Pr="00533A5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905ED">
        <w:rPr>
          <w:rFonts w:ascii="Times New Roman" w:hAnsi="Times New Roman" w:cs="Times New Roman"/>
          <w:sz w:val="28"/>
          <w:szCs w:val="28"/>
        </w:rPr>
        <w:t>позиционировались как методическая помощь</w:t>
      </w:r>
      <w:r w:rsidRPr="00533A53">
        <w:rPr>
          <w:rFonts w:ascii="Times New Roman" w:hAnsi="Times New Roman" w:cs="Times New Roman"/>
          <w:sz w:val="28"/>
          <w:szCs w:val="28"/>
        </w:rPr>
        <w:t xml:space="preserve"> компаниям </w:t>
      </w:r>
      <w:r w:rsidR="005905ED">
        <w:rPr>
          <w:rFonts w:ascii="Times New Roman" w:hAnsi="Times New Roman" w:cs="Times New Roman"/>
          <w:sz w:val="28"/>
          <w:szCs w:val="28"/>
        </w:rPr>
        <w:t xml:space="preserve">позволяющая им </w:t>
      </w:r>
      <w:r w:rsidRPr="00533A53">
        <w:rPr>
          <w:rFonts w:ascii="Times New Roman" w:hAnsi="Times New Roman" w:cs="Times New Roman"/>
          <w:sz w:val="28"/>
          <w:szCs w:val="28"/>
        </w:rPr>
        <w:t xml:space="preserve">предоставлять надежную информацию для эффективного и обоснованного распределения капитала. Рекомендации структурированы по четырем сегментам, </w:t>
      </w:r>
      <w:r w:rsidR="007074B9">
        <w:rPr>
          <w:rFonts w:ascii="Times New Roman" w:hAnsi="Times New Roman" w:cs="Times New Roman"/>
          <w:sz w:val="28"/>
          <w:szCs w:val="28"/>
        </w:rPr>
        <w:t>охватыва</w:t>
      </w:r>
      <w:r w:rsidRPr="00533A53">
        <w:rPr>
          <w:rFonts w:ascii="Times New Roman" w:hAnsi="Times New Roman" w:cs="Times New Roman"/>
          <w:sz w:val="28"/>
          <w:szCs w:val="28"/>
        </w:rPr>
        <w:t xml:space="preserve">ющим основные элементы работы компаний: общее управление, стратегия, управление рисками и показатели. Рекомендации подкреплены разделами, которые дополняют данные, об отчетности о рисках и возможностях, связанных с климатическими изменениями. Предлагается также проведение сценарного анализа связанных с выявлением и оценкой последствий будущих состояний в условиях значительной неопределенности. </w:t>
      </w:r>
    </w:p>
    <w:p w:rsidR="00F66B14" w:rsidRDefault="00F66B14" w:rsidP="005905ED">
      <w:pPr>
        <w:spacing w:after="0" w:line="288" w:lineRule="auto"/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Управление организацией: </w:t>
      </w:r>
      <w:r w:rsidRPr="00C41CFB">
        <w:rPr>
          <w:rFonts w:ascii="Times New Roman" w:hAnsi="Times New Roman" w:cs="Times New Roman"/>
          <w:sz w:val="28"/>
          <w:szCs w:val="28"/>
        </w:rPr>
        <w:t>ре</w:t>
      </w:r>
      <w:r w:rsidRPr="00AC2D89">
        <w:rPr>
          <w:rFonts w:ascii="Times New Roman" w:hAnsi="Times New Roman" w:cs="Times New Roman"/>
          <w:sz w:val="28"/>
          <w:szCs w:val="28"/>
        </w:rPr>
        <w:t xml:space="preserve">комендуется </w:t>
      </w:r>
      <w:r>
        <w:rPr>
          <w:rFonts w:ascii="Times New Roman" w:hAnsi="Times New Roman" w:cs="Times New Roman"/>
          <w:sz w:val="28"/>
          <w:szCs w:val="28"/>
        </w:rPr>
        <w:t>раскрыть</w:t>
      </w:r>
      <w:r w:rsidRPr="00AC2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AC2D89">
        <w:rPr>
          <w:rFonts w:ascii="Times New Roman" w:hAnsi="Times New Roman" w:cs="Times New Roman"/>
          <w:sz w:val="28"/>
          <w:szCs w:val="28"/>
        </w:rPr>
        <w:t xml:space="preserve"> осуществления надзора </w:t>
      </w:r>
      <w:r>
        <w:rPr>
          <w:rFonts w:ascii="Times New Roman" w:hAnsi="Times New Roman" w:cs="Times New Roman"/>
          <w:sz w:val="28"/>
          <w:szCs w:val="28"/>
        </w:rPr>
        <w:t xml:space="preserve">со стороны управленческих структур </w:t>
      </w:r>
      <w:r w:rsidRPr="0061740D">
        <w:rPr>
          <w:rFonts w:ascii="Times New Roman" w:hAnsi="Times New Roman" w:cs="Times New Roman"/>
          <w:sz w:val="28"/>
          <w:szCs w:val="28"/>
        </w:rPr>
        <w:t xml:space="preserve">за рисками и возможностями, </w:t>
      </w:r>
      <w:r>
        <w:rPr>
          <w:rFonts w:ascii="Times New Roman" w:hAnsi="Times New Roman" w:cs="Times New Roman"/>
          <w:sz w:val="28"/>
          <w:szCs w:val="28"/>
        </w:rPr>
        <w:t>связанными с климатическими изменениями, а также роль и полномочия руководителей</w:t>
      </w:r>
      <w:r w:rsidRPr="0061740D">
        <w:rPr>
          <w:rFonts w:ascii="Times New Roman" w:hAnsi="Times New Roman" w:cs="Times New Roman"/>
          <w:sz w:val="28"/>
          <w:szCs w:val="28"/>
        </w:rPr>
        <w:t>.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D89">
        <w:rPr>
          <w:rFonts w:ascii="Times New Roman" w:hAnsi="Times New Roman" w:cs="Times New Roman"/>
          <w:i/>
          <w:sz w:val="28"/>
          <w:szCs w:val="28"/>
        </w:rPr>
        <w:t xml:space="preserve">Стратегии развития организации: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46413">
        <w:rPr>
          <w:rFonts w:ascii="Times New Roman" w:hAnsi="Times New Roman" w:cs="Times New Roman"/>
          <w:sz w:val="28"/>
          <w:szCs w:val="28"/>
        </w:rPr>
        <w:t>екомендуется описать риски и возможности, связанные с изменением климата в краткосрочной, среднесрочной и долгосрочной перспективе</w:t>
      </w:r>
      <w:r>
        <w:rPr>
          <w:rFonts w:ascii="Times New Roman" w:hAnsi="Times New Roman" w:cs="Times New Roman"/>
          <w:sz w:val="28"/>
          <w:szCs w:val="28"/>
        </w:rPr>
        <w:t>, их</w:t>
      </w:r>
      <w:r w:rsidRPr="00A46413">
        <w:rPr>
          <w:rFonts w:ascii="Times New Roman" w:hAnsi="Times New Roman" w:cs="Times New Roman"/>
          <w:sz w:val="28"/>
          <w:szCs w:val="28"/>
        </w:rPr>
        <w:t xml:space="preserve"> влияние на бизнес, стратегию и финансовое планирование компании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Предлагается оценить</w:t>
      </w:r>
      <w:r w:rsidRPr="00A46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влияние различных сценариев, </w:t>
      </w:r>
      <w:r w:rsidRPr="00A46413">
        <w:rPr>
          <w:rFonts w:ascii="Times New Roman" w:hAnsi="Times New Roman" w:cs="Times New Roman"/>
          <w:sz w:val="28"/>
          <w:szCs w:val="28"/>
        </w:rPr>
        <w:t>связанных с изменением климата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A46413">
        <w:rPr>
          <w:rFonts w:ascii="Times New Roman" w:hAnsi="Times New Roman" w:cs="Times New Roman"/>
          <w:sz w:val="28"/>
          <w:szCs w:val="28"/>
        </w:rPr>
        <w:t>устойчивость стратеги</w:t>
      </w:r>
      <w:r>
        <w:rPr>
          <w:rFonts w:ascii="Times New Roman" w:hAnsi="Times New Roman" w:cs="Times New Roman"/>
          <w:sz w:val="28"/>
          <w:szCs w:val="28"/>
        </w:rPr>
        <w:t>и развития</w:t>
      </w:r>
      <w:r w:rsidRPr="00A46413">
        <w:rPr>
          <w:rFonts w:ascii="Times New Roman" w:hAnsi="Times New Roman" w:cs="Times New Roman"/>
          <w:sz w:val="28"/>
          <w:szCs w:val="28"/>
        </w:rPr>
        <w:t>.</w:t>
      </w:r>
    </w:p>
    <w:p w:rsidR="00F66B14" w:rsidRPr="0085562E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2E">
        <w:rPr>
          <w:rFonts w:ascii="Times New Roman" w:hAnsi="Times New Roman" w:cs="Times New Roman"/>
          <w:i/>
          <w:sz w:val="28"/>
          <w:szCs w:val="28"/>
        </w:rPr>
        <w:t xml:space="preserve">Управление рисками: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562E">
        <w:rPr>
          <w:rFonts w:ascii="Times New Roman" w:hAnsi="Times New Roman" w:cs="Times New Roman"/>
          <w:sz w:val="28"/>
          <w:szCs w:val="28"/>
        </w:rPr>
        <w:t>екомендуется описать меры</w:t>
      </w:r>
      <w:r>
        <w:rPr>
          <w:rFonts w:ascii="Times New Roman" w:hAnsi="Times New Roman" w:cs="Times New Roman"/>
          <w:sz w:val="28"/>
          <w:szCs w:val="28"/>
        </w:rPr>
        <w:t>, направленные</w:t>
      </w:r>
      <w:r w:rsidRPr="0085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5562E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62E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62E">
        <w:rPr>
          <w:rFonts w:ascii="Times New Roman" w:hAnsi="Times New Roman" w:cs="Times New Roman"/>
          <w:sz w:val="28"/>
          <w:szCs w:val="28"/>
        </w:rPr>
        <w:t xml:space="preserve"> рисков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85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систему</w:t>
      </w:r>
      <w:r w:rsidRPr="0085562E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562E">
        <w:rPr>
          <w:rFonts w:ascii="Times New Roman" w:hAnsi="Times New Roman" w:cs="Times New Roman"/>
          <w:sz w:val="28"/>
          <w:szCs w:val="28"/>
        </w:rPr>
        <w:t xml:space="preserve"> рисками, связанными с изменением климата</w:t>
      </w:r>
      <w:r>
        <w:rPr>
          <w:rFonts w:ascii="Times New Roman" w:hAnsi="Times New Roman" w:cs="Times New Roman"/>
          <w:sz w:val="28"/>
          <w:szCs w:val="28"/>
        </w:rPr>
        <w:t>. Предлагается</w:t>
      </w:r>
      <w:r w:rsidRPr="0085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описать </w:t>
      </w:r>
      <w:r w:rsidRPr="0085562E">
        <w:rPr>
          <w:rFonts w:ascii="Times New Roman" w:hAnsi="Times New Roman" w:cs="Times New Roman"/>
          <w:sz w:val="28"/>
          <w:szCs w:val="28"/>
        </w:rPr>
        <w:t xml:space="preserve">процессы выявления, оценки и управления рисками и как </w:t>
      </w:r>
      <w:r>
        <w:rPr>
          <w:rFonts w:ascii="Times New Roman" w:hAnsi="Times New Roman" w:cs="Times New Roman"/>
          <w:sz w:val="28"/>
          <w:szCs w:val="28"/>
        </w:rPr>
        <w:t>эти процессы</w:t>
      </w:r>
      <w:r w:rsidRPr="0085562E">
        <w:rPr>
          <w:rFonts w:ascii="Times New Roman" w:hAnsi="Times New Roman" w:cs="Times New Roman"/>
          <w:sz w:val="28"/>
          <w:szCs w:val="28"/>
        </w:rPr>
        <w:t xml:space="preserve"> интегрированы в общ</w:t>
      </w:r>
      <w:r>
        <w:rPr>
          <w:rFonts w:ascii="Times New Roman" w:hAnsi="Times New Roman" w:cs="Times New Roman"/>
          <w:sz w:val="28"/>
          <w:szCs w:val="28"/>
        </w:rPr>
        <w:t>ую систему</w:t>
      </w:r>
      <w:r w:rsidRPr="0085562E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562E">
        <w:rPr>
          <w:rFonts w:ascii="Times New Roman" w:hAnsi="Times New Roman" w:cs="Times New Roman"/>
          <w:sz w:val="28"/>
          <w:szCs w:val="28"/>
        </w:rPr>
        <w:t xml:space="preserve"> рисками.</w:t>
      </w:r>
    </w:p>
    <w:p w:rsidR="00F66B14" w:rsidRPr="0085562E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2E">
        <w:rPr>
          <w:rFonts w:ascii="Times New Roman" w:hAnsi="Times New Roman" w:cs="Times New Roman"/>
          <w:i/>
          <w:sz w:val="28"/>
          <w:szCs w:val="28"/>
        </w:rPr>
        <w:t xml:space="preserve">Показатели и цели: </w:t>
      </w:r>
      <w:r w:rsidRPr="007550A8">
        <w:rPr>
          <w:rFonts w:ascii="Times New Roman" w:hAnsi="Times New Roman" w:cs="Times New Roman"/>
          <w:sz w:val="28"/>
          <w:szCs w:val="28"/>
        </w:rPr>
        <w:t>р</w:t>
      </w:r>
      <w:r w:rsidRPr="0085562E">
        <w:rPr>
          <w:rFonts w:ascii="Times New Roman" w:hAnsi="Times New Roman" w:cs="Times New Roman"/>
          <w:sz w:val="28"/>
          <w:szCs w:val="28"/>
        </w:rPr>
        <w:t xml:space="preserve">екомендуется </w:t>
      </w:r>
      <w:r>
        <w:rPr>
          <w:rFonts w:ascii="Times New Roman" w:hAnsi="Times New Roman" w:cs="Times New Roman"/>
          <w:sz w:val="28"/>
          <w:szCs w:val="28"/>
        </w:rPr>
        <w:t>раскрыть</w:t>
      </w:r>
      <w:r w:rsidRPr="0085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принятые для обоснования </w:t>
      </w:r>
      <w:r w:rsidRPr="0085562E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562E">
        <w:rPr>
          <w:rFonts w:ascii="Times New Roman" w:hAnsi="Times New Roman" w:cs="Times New Roman"/>
          <w:sz w:val="28"/>
          <w:szCs w:val="28"/>
        </w:rPr>
        <w:t xml:space="preserve"> компании показатели, </w:t>
      </w:r>
      <w:r>
        <w:rPr>
          <w:rFonts w:ascii="Times New Roman" w:hAnsi="Times New Roman" w:cs="Times New Roman"/>
          <w:sz w:val="28"/>
          <w:szCs w:val="28"/>
        </w:rPr>
        <w:t>которые используются</w:t>
      </w:r>
      <w:r w:rsidRPr="0085562E">
        <w:rPr>
          <w:rFonts w:ascii="Times New Roman" w:hAnsi="Times New Roman" w:cs="Times New Roman"/>
          <w:sz w:val="28"/>
          <w:szCs w:val="28"/>
        </w:rPr>
        <w:t xml:space="preserve"> для оценки связанных с </w:t>
      </w:r>
      <w:r>
        <w:rPr>
          <w:rFonts w:ascii="Times New Roman" w:hAnsi="Times New Roman" w:cs="Times New Roman"/>
          <w:sz w:val="28"/>
          <w:szCs w:val="28"/>
        </w:rPr>
        <w:t>климатическими изменениями</w:t>
      </w:r>
      <w:r w:rsidRPr="0085562E">
        <w:rPr>
          <w:rFonts w:ascii="Times New Roman" w:hAnsi="Times New Roman" w:cs="Times New Roman"/>
          <w:sz w:val="28"/>
          <w:szCs w:val="28"/>
        </w:rPr>
        <w:t xml:space="preserve"> рисков и возможностей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этих показателей может быть, например,</w:t>
      </w:r>
      <w:r w:rsidRPr="0085562E">
        <w:rPr>
          <w:rFonts w:ascii="Times New Roman" w:hAnsi="Times New Roman" w:cs="Times New Roman"/>
          <w:sz w:val="28"/>
          <w:szCs w:val="28"/>
        </w:rPr>
        <w:t xml:space="preserve"> объем выбросов парниковых газов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5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раскрыть </w:t>
      </w:r>
      <w:r w:rsidRPr="0085562E">
        <w:rPr>
          <w:rFonts w:ascii="Times New Roman" w:hAnsi="Times New Roman" w:cs="Times New Roman"/>
          <w:sz w:val="28"/>
          <w:szCs w:val="28"/>
        </w:rPr>
        <w:t>индикаторы достижения целевых показателей.</w:t>
      </w:r>
      <w:r w:rsidRPr="0085562E">
        <w:t xml:space="preserve"> 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7">
        <w:rPr>
          <w:rFonts w:ascii="Times New Roman" w:hAnsi="Times New Roman" w:cs="Times New Roman"/>
          <w:i/>
          <w:sz w:val="28"/>
          <w:szCs w:val="28"/>
        </w:rPr>
        <w:t>Принципы эффективного раскрытия информации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целях обеспечения</w:t>
      </w:r>
      <w:r w:rsidRPr="0089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893E9E">
        <w:rPr>
          <w:rFonts w:ascii="Times New Roman" w:hAnsi="Times New Roman" w:cs="Times New Roman"/>
          <w:sz w:val="28"/>
          <w:szCs w:val="28"/>
        </w:rPr>
        <w:t>раскры</w:t>
      </w:r>
      <w:r>
        <w:rPr>
          <w:rFonts w:ascii="Times New Roman" w:hAnsi="Times New Roman" w:cs="Times New Roman"/>
          <w:sz w:val="28"/>
          <w:szCs w:val="28"/>
        </w:rPr>
        <w:t>ваемой</w:t>
      </w:r>
      <w:r w:rsidRPr="00893E9E">
        <w:rPr>
          <w:rFonts w:ascii="Times New Roman" w:hAnsi="Times New Roman" w:cs="Times New Roman"/>
          <w:sz w:val="28"/>
          <w:szCs w:val="28"/>
        </w:rPr>
        <w:t xml:space="preserve"> информации, позволяюще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3E9E">
        <w:rPr>
          <w:rFonts w:ascii="Times New Roman" w:hAnsi="Times New Roman" w:cs="Times New Roman"/>
          <w:sz w:val="28"/>
          <w:szCs w:val="28"/>
        </w:rPr>
        <w:t xml:space="preserve"> пользователям понять влияние изменения климата на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3E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компаниям предлагается</w:t>
      </w:r>
      <w:r w:rsidRPr="00893E9E">
        <w:rPr>
          <w:rFonts w:ascii="Times New Roman" w:hAnsi="Times New Roman" w:cs="Times New Roman"/>
          <w:sz w:val="28"/>
          <w:szCs w:val="28"/>
        </w:rPr>
        <w:t xml:space="preserve"> учитывать семь принципов эффективного раскрытия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05ED" w:rsidRPr="005905ED">
        <w:rPr>
          <w:rFonts w:ascii="Times New Roman" w:hAnsi="Times New Roman" w:cs="Times New Roman"/>
          <w:sz w:val="28"/>
          <w:szCs w:val="28"/>
        </w:rPr>
        <w:t xml:space="preserve">1) </w:t>
      </w:r>
      <w:r w:rsidR="005905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должна соответствовать цели ее раскрытия</w:t>
      </w:r>
      <w:r w:rsidR="005905ED">
        <w:rPr>
          <w:rFonts w:ascii="Times New Roman" w:hAnsi="Times New Roman" w:cs="Times New Roman"/>
          <w:sz w:val="28"/>
          <w:szCs w:val="28"/>
        </w:rPr>
        <w:t>; 2) р</w:t>
      </w:r>
      <w:r w:rsidRPr="00C11DCE">
        <w:rPr>
          <w:rFonts w:ascii="Times New Roman" w:hAnsi="Times New Roman" w:cs="Times New Roman"/>
          <w:sz w:val="28"/>
          <w:szCs w:val="28"/>
        </w:rPr>
        <w:t xml:space="preserve">аскрытие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C11DCE">
        <w:rPr>
          <w:rFonts w:ascii="Times New Roman" w:hAnsi="Times New Roman" w:cs="Times New Roman"/>
          <w:sz w:val="28"/>
          <w:szCs w:val="28"/>
        </w:rPr>
        <w:t>должно быть конкретным и полным</w:t>
      </w:r>
      <w:r w:rsidR="005905ED">
        <w:rPr>
          <w:rFonts w:ascii="Times New Roman" w:hAnsi="Times New Roman" w:cs="Times New Roman"/>
          <w:sz w:val="28"/>
          <w:szCs w:val="28"/>
        </w:rPr>
        <w:t>; 3) р</w:t>
      </w:r>
      <w:r w:rsidRPr="00C11DCE">
        <w:rPr>
          <w:rFonts w:ascii="Times New Roman" w:hAnsi="Times New Roman" w:cs="Times New Roman"/>
          <w:sz w:val="28"/>
          <w:szCs w:val="28"/>
        </w:rPr>
        <w:t>аскрытие должно быть четким, сбалансированным и понятным</w:t>
      </w:r>
      <w:r w:rsidR="005905ED">
        <w:rPr>
          <w:rFonts w:ascii="Times New Roman" w:hAnsi="Times New Roman" w:cs="Times New Roman"/>
          <w:sz w:val="28"/>
          <w:szCs w:val="28"/>
        </w:rPr>
        <w:t>; 4) р</w:t>
      </w:r>
      <w:r w:rsidRPr="00C11DCE">
        <w:rPr>
          <w:rFonts w:ascii="Times New Roman" w:hAnsi="Times New Roman" w:cs="Times New Roman"/>
          <w:sz w:val="28"/>
          <w:szCs w:val="28"/>
        </w:rPr>
        <w:t xml:space="preserve">аскрытие информации должно быть последовательным </w:t>
      </w:r>
      <w:r>
        <w:rPr>
          <w:rFonts w:ascii="Times New Roman" w:hAnsi="Times New Roman" w:cs="Times New Roman"/>
          <w:sz w:val="28"/>
          <w:szCs w:val="28"/>
        </w:rPr>
        <w:t xml:space="preserve">и соответствовать </w:t>
      </w:r>
      <w:r w:rsidRPr="00C11DCE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>, к которой она относится</w:t>
      </w:r>
      <w:r w:rsidR="005905ED">
        <w:rPr>
          <w:rFonts w:ascii="Times New Roman" w:hAnsi="Times New Roman" w:cs="Times New Roman"/>
          <w:sz w:val="28"/>
          <w:szCs w:val="28"/>
        </w:rPr>
        <w:t>; 5) и</w:t>
      </w:r>
      <w:r w:rsidRPr="004772BD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72BD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2BD">
        <w:rPr>
          <w:rFonts w:ascii="Times New Roman" w:hAnsi="Times New Roman" w:cs="Times New Roman"/>
          <w:sz w:val="28"/>
          <w:szCs w:val="28"/>
        </w:rPr>
        <w:t xml:space="preserve"> быть сопоставим</w:t>
      </w:r>
      <w:r>
        <w:rPr>
          <w:rFonts w:ascii="Times New Roman" w:hAnsi="Times New Roman" w:cs="Times New Roman"/>
          <w:sz w:val="28"/>
          <w:szCs w:val="28"/>
        </w:rPr>
        <w:t>а с</w:t>
      </w:r>
      <w:r w:rsidRPr="0047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представляемой другими </w:t>
      </w:r>
      <w:r w:rsidRPr="004772BD">
        <w:rPr>
          <w:rFonts w:ascii="Times New Roman" w:hAnsi="Times New Roman" w:cs="Times New Roman"/>
          <w:sz w:val="28"/>
          <w:szCs w:val="28"/>
        </w:rPr>
        <w:t>компаниями в рамках сектора, отрасли или портфеля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5905ED">
        <w:rPr>
          <w:rFonts w:ascii="Times New Roman" w:hAnsi="Times New Roman" w:cs="Times New Roman"/>
          <w:sz w:val="28"/>
          <w:szCs w:val="28"/>
        </w:rPr>
        <w:t>; 6) и</w:t>
      </w:r>
      <w:r>
        <w:rPr>
          <w:rFonts w:ascii="Times New Roman" w:hAnsi="Times New Roman" w:cs="Times New Roman"/>
          <w:sz w:val="28"/>
          <w:szCs w:val="28"/>
        </w:rPr>
        <w:t>нформация</w:t>
      </w:r>
      <w:r w:rsidRPr="004772BD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2BD">
        <w:rPr>
          <w:rFonts w:ascii="Times New Roman" w:hAnsi="Times New Roman" w:cs="Times New Roman"/>
          <w:sz w:val="28"/>
          <w:szCs w:val="28"/>
        </w:rPr>
        <w:t xml:space="preserve"> быть надежн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72BD">
        <w:rPr>
          <w:rFonts w:ascii="Times New Roman" w:hAnsi="Times New Roman" w:cs="Times New Roman"/>
          <w:sz w:val="28"/>
          <w:szCs w:val="28"/>
        </w:rPr>
        <w:t>, объективн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72BD">
        <w:rPr>
          <w:rFonts w:ascii="Times New Roman" w:hAnsi="Times New Roman" w:cs="Times New Roman"/>
          <w:sz w:val="28"/>
          <w:szCs w:val="28"/>
        </w:rPr>
        <w:t xml:space="preserve"> подда</w:t>
      </w:r>
      <w:r>
        <w:rPr>
          <w:rFonts w:ascii="Times New Roman" w:hAnsi="Times New Roman" w:cs="Times New Roman"/>
          <w:sz w:val="28"/>
          <w:szCs w:val="28"/>
        </w:rPr>
        <w:t>ваться проверке</w:t>
      </w:r>
      <w:r w:rsidR="005905ED">
        <w:rPr>
          <w:rFonts w:ascii="Times New Roman" w:hAnsi="Times New Roman" w:cs="Times New Roman"/>
          <w:sz w:val="28"/>
          <w:szCs w:val="28"/>
        </w:rPr>
        <w:t>; 7) и</w:t>
      </w:r>
      <w:r w:rsidRPr="00893E9E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3E9E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E9E">
        <w:rPr>
          <w:rFonts w:ascii="Times New Roman" w:hAnsi="Times New Roman" w:cs="Times New Roman"/>
          <w:sz w:val="28"/>
          <w:szCs w:val="28"/>
        </w:rPr>
        <w:t xml:space="preserve"> предоставляться своевременно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5ED" w:rsidRPr="005905ED" w:rsidRDefault="00425EF6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5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66B14" w:rsidRPr="005905ED">
        <w:rPr>
          <w:rFonts w:ascii="Times New Roman" w:hAnsi="Times New Roman" w:cs="Times New Roman"/>
          <w:b/>
          <w:sz w:val="28"/>
          <w:szCs w:val="28"/>
        </w:rPr>
        <w:t>Международная организация по надзору за деятельностью пенсионных фондов (</w:t>
      </w:r>
      <w:r w:rsidR="005905ED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="005905ED"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5ED">
        <w:rPr>
          <w:rFonts w:ascii="Times New Roman" w:hAnsi="Times New Roman" w:cs="Times New Roman"/>
          <w:b/>
          <w:sz w:val="28"/>
          <w:szCs w:val="28"/>
          <w:lang w:val="en-US"/>
        </w:rPr>
        <w:t>Organization</w:t>
      </w:r>
      <w:r w:rsidR="005905ED"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5ED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5905ED"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5ED">
        <w:rPr>
          <w:rFonts w:ascii="Times New Roman" w:hAnsi="Times New Roman" w:cs="Times New Roman"/>
          <w:b/>
          <w:sz w:val="28"/>
          <w:szCs w:val="28"/>
          <w:lang w:val="en-US"/>
        </w:rPr>
        <w:t>Pension</w:t>
      </w:r>
      <w:r w:rsidR="005905ED" w:rsidRPr="00590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5ED">
        <w:rPr>
          <w:rFonts w:ascii="Times New Roman" w:hAnsi="Times New Roman" w:cs="Times New Roman"/>
          <w:b/>
          <w:sz w:val="28"/>
          <w:szCs w:val="28"/>
          <w:lang w:val="en-US"/>
        </w:rPr>
        <w:t>Supervisors</w:t>
      </w:r>
      <w:r w:rsidR="005905ED" w:rsidRPr="005905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6B14" w:rsidRPr="005905ED">
        <w:rPr>
          <w:rFonts w:ascii="Times New Roman" w:hAnsi="Times New Roman" w:cs="Times New Roman"/>
          <w:b/>
          <w:sz w:val="28"/>
          <w:szCs w:val="28"/>
          <w:lang w:val="en-US"/>
        </w:rPr>
        <w:t>IOPS</w:t>
      </w:r>
      <w:r w:rsidR="00F66B14" w:rsidRPr="005905ED">
        <w:rPr>
          <w:rFonts w:ascii="Times New Roman" w:hAnsi="Times New Roman" w:cs="Times New Roman"/>
          <w:b/>
          <w:sz w:val="28"/>
          <w:szCs w:val="28"/>
        </w:rPr>
        <w:t>)</w:t>
      </w:r>
      <w:r w:rsidRPr="005905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66B14" w:rsidRDefault="00425EF6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документ, получивший название «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Руководство по интеграции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-факторов в инвестиционный процесс и риск-менеджмент </w:t>
      </w:r>
      <w:r w:rsidR="00F66B14" w:rsidRPr="003927F1">
        <w:rPr>
          <w:rFonts w:ascii="Times New Roman" w:hAnsi="Times New Roman" w:cs="Times New Roman"/>
          <w:sz w:val="28"/>
          <w:szCs w:val="28"/>
        </w:rPr>
        <w:lastRenderedPageBreak/>
        <w:t>пенсионных фондов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(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IOPS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Supervisory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Guidelines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Integration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Factors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Risk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Pension</w:t>
      </w:r>
      <w:r w:rsidR="00F66B14" w:rsidRPr="003927F1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3927F1">
        <w:rPr>
          <w:rFonts w:ascii="Times New Roman" w:hAnsi="Times New Roman" w:cs="Times New Roman"/>
          <w:sz w:val="28"/>
          <w:szCs w:val="28"/>
          <w:lang w:val="en-US"/>
        </w:rPr>
        <w:t>Funds</w:t>
      </w:r>
      <w:r w:rsidR="00F66B14" w:rsidRPr="003927F1">
        <w:rPr>
          <w:rFonts w:ascii="Times New Roman" w:hAnsi="Times New Roman" w:cs="Times New Roman"/>
          <w:sz w:val="28"/>
          <w:szCs w:val="28"/>
        </w:rPr>
        <w:t>)</w:t>
      </w:r>
      <w:r w:rsidR="00F66B14" w:rsidRPr="003927F1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  <w:r w:rsidR="005905ED" w:rsidRPr="005905ED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F938B5">
        <w:rPr>
          <w:rFonts w:ascii="Times New Roman" w:hAnsi="Times New Roman" w:cs="Times New Roman"/>
          <w:sz w:val="28"/>
          <w:szCs w:val="28"/>
        </w:rPr>
        <w:t>Руководящие принципы IOPS носят добровольный характер и предназначены для руководства</w:t>
      </w:r>
      <w:r w:rsidR="00F66B14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F938B5">
        <w:rPr>
          <w:rFonts w:ascii="Times New Roman" w:hAnsi="Times New Roman" w:cs="Times New Roman"/>
          <w:sz w:val="28"/>
          <w:szCs w:val="28"/>
        </w:rPr>
        <w:t>регулирующи</w:t>
      </w:r>
      <w:r w:rsidR="00F66B14">
        <w:rPr>
          <w:rFonts w:ascii="Times New Roman" w:hAnsi="Times New Roman" w:cs="Times New Roman"/>
          <w:sz w:val="28"/>
          <w:szCs w:val="28"/>
        </w:rPr>
        <w:t>х и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 надзорны</w:t>
      </w:r>
      <w:r w:rsidR="00F66B14">
        <w:rPr>
          <w:rFonts w:ascii="Times New Roman" w:hAnsi="Times New Roman" w:cs="Times New Roman"/>
          <w:sz w:val="28"/>
          <w:szCs w:val="28"/>
        </w:rPr>
        <w:t>х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66B14">
        <w:rPr>
          <w:rFonts w:ascii="Times New Roman" w:hAnsi="Times New Roman" w:cs="Times New Roman"/>
          <w:sz w:val="28"/>
          <w:szCs w:val="28"/>
        </w:rPr>
        <w:t>ов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F66B14">
        <w:rPr>
          <w:rFonts w:ascii="Times New Roman" w:hAnsi="Times New Roman" w:cs="Times New Roman"/>
          <w:sz w:val="28"/>
          <w:szCs w:val="28"/>
        </w:rPr>
        <w:t>х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66B14">
        <w:rPr>
          <w:rFonts w:ascii="Times New Roman" w:hAnsi="Times New Roman" w:cs="Times New Roman"/>
          <w:sz w:val="28"/>
          <w:szCs w:val="28"/>
        </w:rPr>
        <w:t>й</w:t>
      </w:r>
      <w:r w:rsidR="00F66B14" w:rsidRPr="00F938B5">
        <w:rPr>
          <w:rFonts w:ascii="Times New Roman" w:hAnsi="Times New Roman" w:cs="Times New Roman"/>
          <w:sz w:val="28"/>
          <w:szCs w:val="28"/>
        </w:rPr>
        <w:t>, участвующи</w:t>
      </w:r>
      <w:r w:rsidR="00F66B14">
        <w:rPr>
          <w:rFonts w:ascii="Times New Roman" w:hAnsi="Times New Roman" w:cs="Times New Roman"/>
          <w:sz w:val="28"/>
          <w:szCs w:val="28"/>
        </w:rPr>
        <w:t>х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 в </w:t>
      </w:r>
      <w:r w:rsidR="00F66B14">
        <w:rPr>
          <w:rFonts w:ascii="Times New Roman" w:hAnsi="Times New Roman" w:cs="Times New Roman"/>
          <w:sz w:val="28"/>
          <w:szCs w:val="28"/>
        </w:rPr>
        <w:t>управлении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 пенсионными рисками и инвестициями. </w:t>
      </w:r>
      <w:r w:rsidR="00F66B14">
        <w:rPr>
          <w:rFonts w:ascii="Times New Roman" w:hAnsi="Times New Roman" w:cs="Times New Roman"/>
          <w:sz w:val="28"/>
          <w:szCs w:val="28"/>
        </w:rPr>
        <w:t xml:space="preserve">В документе констатируется, что распространение принципов </w:t>
      </w:r>
      <w:r w:rsidR="00F66B14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 </w:t>
      </w:r>
      <w:r w:rsidR="00F66B14">
        <w:rPr>
          <w:rFonts w:ascii="Times New Roman" w:hAnsi="Times New Roman" w:cs="Times New Roman"/>
          <w:sz w:val="28"/>
          <w:szCs w:val="28"/>
        </w:rPr>
        <w:t xml:space="preserve">на инвестиционную деятельность и деятельность пенсионных фондов </w:t>
      </w:r>
      <w:r w:rsidR="00F66B14" w:rsidRPr="00F938B5">
        <w:rPr>
          <w:rFonts w:ascii="Times New Roman" w:hAnsi="Times New Roman" w:cs="Times New Roman"/>
          <w:sz w:val="28"/>
          <w:szCs w:val="28"/>
        </w:rPr>
        <w:t>является относительно нов</w:t>
      </w:r>
      <w:r w:rsidR="00F66B14">
        <w:rPr>
          <w:rFonts w:ascii="Times New Roman" w:hAnsi="Times New Roman" w:cs="Times New Roman"/>
          <w:sz w:val="28"/>
          <w:szCs w:val="28"/>
        </w:rPr>
        <w:t xml:space="preserve">ым, но </w:t>
      </w:r>
      <w:r w:rsidR="00F66B14" w:rsidRPr="00F938B5">
        <w:rPr>
          <w:rFonts w:ascii="Times New Roman" w:hAnsi="Times New Roman" w:cs="Times New Roman"/>
          <w:sz w:val="28"/>
          <w:szCs w:val="28"/>
        </w:rPr>
        <w:t>динамично развивающимся</w:t>
      </w:r>
      <w:r w:rsidR="00F66B14">
        <w:rPr>
          <w:rFonts w:ascii="Times New Roman" w:hAnsi="Times New Roman" w:cs="Times New Roman"/>
          <w:sz w:val="28"/>
          <w:szCs w:val="28"/>
        </w:rPr>
        <w:t xml:space="preserve"> явлением</w:t>
      </w:r>
      <w:r w:rsidR="00F66B14" w:rsidRPr="00F938B5">
        <w:rPr>
          <w:rFonts w:ascii="Times New Roman" w:hAnsi="Times New Roman" w:cs="Times New Roman"/>
          <w:sz w:val="28"/>
          <w:szCs w:val="28"/>
        </w:rPr>
        <w:t>.</w:t>
      </w:r>
      <w:r w:rsidR="00F66B14">
        <w:rPr>
          <w:rFonts w:ascii="Times New Roman" w:hAnsi="Times New Roman" w:cs="Times New Roman"/>
          <w:sz w:val="28"/>
          <w:szCs w:val="28"/>
        </w:rPr>
        <w:t xml:space="preserve"> Основной посыл документа состоит в необходимости интегрировать принципы </w:t>
      </w:r>
      <w:r w:rsidR="00F66B14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66B14" w:rsidRPr="00A25674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в </w:t>
      </w:r>
      <w:r w:rsidR="00F66B14">
        <w:rPr>
          <w:rFonts w:ascii="Times New Roman" w:hAnsi="Times New Roman" w:cs="Times New Roman"/>
          <w:sz w:val="28"/>
          <w:szCs w:val="28"/>
        </w:rPr>
        <w:t>систему</w:t>
      </w:r>
      <w:r w:rsidR="00F66B14" w:rsidRPr="00A25674">
        <w:rPr>
          <w:rFonts w:ascii="Times New Roman" w:hAnsi="Times New Roman" w:cs="Times New Roman"/>
          <w:sz w:val="28"/>
          <w:szCs w:val="28"/>
        </w:rPr>
        <w:t xml:space="preserve"> </w:t>
      </w:r>
      <w:r w:rsidR="00F66B14" w:rsidRPr="00F938B5">
        <w:rPr>
          <w:rFonts w:ascii="Times New Roman" w:hAnsi="Times New Roman" w:cs="Times New Roman"/>
          <w:sz w:val="28"/>
          <w:szCs w:val="28"/>
        </w:rPr>
        <w:t>надзор</w:t>
      </w:r>
      <w:r w:rsidR="00F66B14">
        <w:rPr>
          <w:rFonts w:ascii="Times New Roman" w:hAnsi="Times New Roman" w:cs="Times New Roman"/>
          <w:sz w:val="28"/>
          <w:szCs w:val="28"/>
        </w:rPr>
        <w:t>а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 за инвестициями и</w:t>
      </w:r>
      <w:r w:rsidR="00F66B14">
        <w:rPr>
          <w:rFonts w:ascii="Times New Roman" w:hAnsi="Times New Roman" w:cs="Times New Roman"/>
          <w:sz w:val="28"/>
          <w:szCs w:val="28"/>
        </w:rPr>
        <w:t xml:space="preserve"> у</w:t>
      </w:r>
      <w:r w:rsidR="00F66B14" w:rsidRPr="00F938B5">
        <w:rPr>
          <w:rFonts w:ascii="Times New Roman" w:hAnsi="Times New Roman" w:cs="Times New Roman"/>
          <w:sz w:val="28"/>
          <w:szCs w:val="28"/>
        </w:rPr>
        <w:t xml:space="preserve">правление рисками пенсионных фондов. </w:t>
      </w:r>
      <w:r w:rsidR="00F66B14">
        <w:rPr>
          <w:rFonts w:ascii="Times New Roman" w:hAnsi="Times New Roman" w:cs="Times New Roman"/>
          <w:sz w:val="28"/>
          <w:szCs w:val="28"/>
        </w:rPr>
        <w:t xml:space="preserve">Цель Руководства – </w:t>
      </w:r>
      <w:r w:rsidR="00F66B14" w:rsidRPr="00F938B5">
        <w:rPr>
          <w:rFonts w:ascii="Times New Roman" w:hAnsi="Times New Roman" w:cs="Times New Roman"/>
          <w:sz w:val="28"/>
          <w:szCs w:val="28"/>
        </w:rPr>
        <w:t>помочь надзорным органам реагировать на возможные изменения в област</w:t>
      </w:r>
      <w:r w:rsidR="00F66B14">
        <w:rPr>
          <w:rFonts w:ascii="Times New Roman" w:hAnsi="Times New Roman" w:cs="Times New Roman"/>
          <w:sz w:val="28"/>
          <w:szCs w:val="28"/>
        </w:rPr>
        <w:t>и регулирования в этой области.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принципов </w:t>
      </w:r>
      <w:r w:rsidRPr="00F938B5">
        <w:rPr>
          <w:rFonts w:ascii="Times New Roman" w:hAnsi="Times New Roman" w:cs="Times New Roman"/>
          <w:sz w:val="28"/>
          <w:szCs w:val="28"/>
        </w:rPr>
        <w:t xml:space="preserve">ESG </w:t>
      </w:r>
      <w:r>
        <w:rPr>
          <w:rFonts w:ascii="Times New Roman" w:hAnsi="Times New Roman" w:cs="Times New Roman"/>
          <w:sz w:val="28"/>
          <w:szCs w:val="28"/>
        </w:rPr>
        <w:t>на финансовую сферу рассматриваются в документе</w:t>
      </w:r>
      <w:r w:rsidRPr="00F9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938B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B5">
        <w:rPr>
          <w:rFonts w:ascii="Times New Roman" w:hAnsi="Times New Roman" w:cs="Times New Roman"/>
          <w:sz w:val="28"/>
          <w:szCs w:val="28"/>
        </w:rPr>
        <w:t>потенциальны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38B5">
        <w:rPr>
          <w:rFonts w:ascii="Times New Roman" w:hAnsi="Times New Roman" w:cs="Times New Roman"/>
          <w:sz w:val="28"/>
          <w:szCs w:val="28"/>
        </w:rPr>
        <w:t xml:space="preserve"> риск, и </w:t>
      </w:r>
      <w:r>
        <w:rPr>
          <w:rFonts w:ascii="Times New Roman" w:hAnsi="Times New Roman" w:cs="Times New Roman"/>
          <w:sz w:val="28"/>
          <w:szCs w:val="28"/>
        </w:rPr>
        <w:t xml:space="preserve">как расширение </w:t>
      </w:r>
      <w:r w:rsidRPr="00F938B5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938B5">
        <w:rPr>
          <w:rFonts w:ascii="Times New Roman" w:hAnsi="Times New Roman" w:cs="Times New Roman"/>
          <w:sz w:val="28"/>
          <w:szCs w:val="28"/>
        </w:rPr>
        <w:t xml:space="preserve"> для пенсионных фондов. 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 w:rsidRPr="00F938B5">
        <w:rPr>
          <w:rFonts w:ascii="Times New Roman" w:hAnsi="Times New Roman" w:cs="Times New Roman"/>
          <w:sz w:val="28"/>
          <w:szCs w:val="28"/>
        </w:rPr>
        <w:t xml:space="preserve"> не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38B5">
        <w:rPr>
          <w:rFonts w:ascii="Times New Roman" w:hAnsi="Times New Roman" w:cs="Times New Roman"/>
          <w:sz w:val="28"/>
          <w:szCs w:val="28"/>
        </w:rPr>
        <w:t xml:space="preserve"> на то, чтобы побудить пенсионные 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B5">
        <w:rPr>
          <w:rFonts w:ascii="Times New Roman" w:hAnsi="Times New Roman" w:cs="Times New Roman"/>
          <w:sz w:val="28"/>
          <w:szCs w:val="28"/>
        </w:rPr>
        <w:t>инвести</w:t>
      </w:r>
      <w:r>
        <w:rPr>
          <w:rFonts w:ascii="Times New Roman" w:hAnsi="Times New Roman" w:cs="Times New Roman"/>
          <w:sz w:val="28"/>
          <w:szCs w:val="28"/>
        </w:rPr>
        <w:t>ровать</w:t>
      </w:r>
      <w:r w:rsidRPr="00F9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 в</w:t>
      </w:r>
      <w:r w:rsidRPr="00F938B5">
        <w:rPr>
          <w:rFonts w:ascii="Times New Roman" w:hAnsi="Times New Roman" w:cs="Times New Roman"/>
          <w:sz w:val="28"/>
          <w:szCs w:val="28"/>
        </w:rPr>
        <w:t xml:space="preserve"> ESG</w:t>
      </w:r>
      <w:r>
        <w:rPr>
          <w:rFonts w:ascii="Times New Roman" w:hAnsi="Times New Roman" w:cs="Times New Roman"/>
          <w:sz w:val="28"/>
          <w:szCs w:val="28"/>
        </w:rPr>
        <w:t xml:space="preserve"> сферу</w:t>
      </w:r>
      <w:r w:rsidRPr="00F938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9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</w:t>
      </w:r>
      <w:r w:rsidRPr="00F938B5">
        <w:rPr>
          <w:rFonts w:ascii="Times New Roman" w:hAnsi="Times New Roman" w:cs="Times New Roman"/>
          <w:sz w:val="28"/>
          <w:szCs w:val="28"/>
        </w:rPr>
        <w:t xml:space="preserve"> учитывать в сво</w:t>
      </w:r>
      <w:r>
        <w:rPr>
          <w:rFonts w:ascii="Times New Roman" w:hAnsi="Times New Roman" w:cs="Times New Roman"/>
          <w:sz w:val="28"/>
          <w:szCs w:val="28"/>
        </w:rPr>
        <w:t>ей деятельности</w:t>
      </w:r>
      <w:r w:rsidRPr="00F938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938B5">
        <w:rPr>
          <w:rFonts w:ascii="Times New Roman" w:hAnsi="Times New Roman" w:cs="Times New Roman"/>
          <w:sz w:val="28"/>
          <w:szCs w:val="28"/>
        </w:rPr>
        <w:t>процессе управления рисками ESG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38B5">
        <w:rPr>
          <w:rFonts w:ascii="Times New Roman" w:hAnsi="Times New Roman" w:cs="Times New Roman"/>
          <w:sz w:val="28"/>
          <w:szCs w:val="28"/>
        </w:rPr>
        <w:t>факторы, которые могут иметь</w:t>
      </w:r>
      <w:r>
        <w:rPr>
          <w:rFonts w:ascii="Times New Roman" w:hAnsi="Times New Roman" w:cs="Times New Roman"/>
          <w:sz w:val="28"/>
          <w:szCs w:val="28"/>
        </w:rPr>
        <w:t xml:space="preserve"> серьезные </w:t>
      </w:r>
      <w:r w:rsidRPr="00F938B5">
        <w:rPr>
          <w:rFonts w:ascii="Times New Roman" w:hAnsi="Times New Roman" w:cs="Times New Roman"/>
          <w:sz w:val="28"/>
          <w:szCs w:val="28"/>
        </w:rPr>
        <w:t>финансовые</w:t>
      </w:r>
      <w:r>
        <w:rPr>
          <w:rFonts w:ascii="Times New Roman" w:hAnsi="Times New Roman" w:cs="Times New Roman"/>
          <w:sz w:val="28"/>
          <w:szCs w:val="28"/>
        </w:rPr>
        <w:t xml:space="preserve"> последствия. П</w:t>
      </w:r>
      <w:r w:rsidRPr="00F938B5">
        <w:rPr>
          <w:rFonts w:ascii="Times New Roman" w:hAnsi="Times New Roman" w:cs="Times New Roman"/>
          <w:sz w:val="28"/>
          <w:szCs w:val="28"/>
        </w:rPr>
        <w:t>ринципы</w:t>
      </w:r>
      <w:r>
        <w:rPr>
          <w:rFonts w:ascii="Times New Roman" w:hAnsi="Times New Roman" w:cs="Times New Roman"/>
          <w:sz w:val="28"/>
          <w:szCs w:val="28"/>
        </w:rPr>
        <w:t>, изложенные в Руководстве,</w:t>
      </w:r>
      <w:r w:rsidRPr="00F938B5">
        <w:rPr>
          <w:rFonts w:ascii="Times New Roman" w:hAnsi="Times New Roman" w:cs="Times New Roman"/>
          <w:sz w:val="28"/>
          <w:szCs w:val="28"/>
        </w:rPr>
        <w:t xml:space="preserve">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B5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>, но</w:t>
      </w:r>
      <w:r w:rsidRPr="00F938B5">
        <w:rPr>
          <w:rFonts w:ascii="Times New Roman" w:hAnsi="Times New Roman" w:cs="Times New Roman"/>
          <w:sz w:val="28"/>
          <w:szCs w:val="28"/>
        </w:rPr>
        <w:t xml:space="preserve"> призваны служить ор</w:t>
      </w:r>
      <w:r>
        <w:rPr>
          <w:rFonts w:ascii="Times New Roman" w:hAnsi="Times New Roman" w:cs="Times New Roman"/>
          <w:sz w:val="28"/>
          <w:szCs w:val="28"/>
        </w:rPr>
        <w:t>иентиром для надзорных органов.</w:t>
      </w:r>
    </w:p>
    <w:p w:rsidR="005905ED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79">
        <w:rPr>
          <w:rFonts w:ascii="Times New Roman" w:hAnsi="Times New Roman" w:cs="Times New Roman"/>
          <w:sz w:val="28"/>
          <w:szCs w:val="28"/>
        </w:rPr>
        <w:t>Инвестиции пенсионных фондов являются</w:t>
      </w:r>
      <w:r>
        <w:rPr>
          <w:rFonts w:ascii="Times New Roman" w:hAnsi="Times New Roman" w:cs="Times New Roman"/>
          <w:sz w:val="28"/>
          <w:szCs w:val="28"/>
        </w:rPr>
        <w:t>, как правило,</w:t>
      </w:r>
      <w:r w:rsidRPr="00B90579">
        <w:rPr>
          <w:rFonts w:ascii="Times New Roman" w:hAnsi="Times New Roman" w:cs="Times New Roman"/>
          <w:sz w:val="28"/>
          <w:szCs w:val="28"/>
        </w:rPr>
        <w:t xml:space="preserve"> долгосрочными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B5">
        <w:rPr>
          <w:rFonts w:ascii="Times New Roman" w:hAnsi="Times New Roman" w:cs="Times New Roman"/>
          <w:sz w:val="28"/>
          <w:szCs w:val="28"/>
        </w:rPr>
        <w:t xml:space="preserve">и, следовательно, подвержены долгосрочным рискам. </w:t>
      </w:r>
      <w:r>
        <w:rPr>
          <w:rFonts w:ascii="Times New Roman" w:hAnsi="Times New Roman" w:cs="Times New Roman"/>
          <w:sz w:val="28"/>
          <w:szCs w:val="28"/>
        </w:rPr>
        <w:t>Поэтому р</w:t>
      </w:r>
      <w:r w:rsidRPr="00F938B5">
        <w:rPr>
          <w:rFonts w:ascii="Times New Roman" w:hAnsi="Times New Roman" w:cs="Times New Roman"/>
          <w:sz w:val="28"/>
          <w:szCs w:val="28"/>
        </w:rPr>
        <w:t>иски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B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в этом контексте</w:t>
      </w:r>
      <w:r w:rsidRPr="00F938B5">
        <w:rPr>
          <w:rFonts w:ascii="Times New Roman" w:hAnsi="Times New Roman" w:cs="Times New Roman"/>
          <w:sz w:val="28"/>
          <w:szCs w:val="28"/>
        </w:rPr>
        <w:t xml:space="preserve"> включают риски, связанные с экологическими проблемами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8B5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B5">
        <w:rPr>
          <w:rFonts w:ascii="Times New Roman" w:hAnsi="Times New Roman" w:cs="Times New Roman"/>
          <w:sz w:val="28"/>
          <w:szCs w:val="28"/>
        </w:rPr>
        <w:t xml:space="preserve">изменение климата,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938B5">
        <w:rPr>
          <w:rFonts w:ascii="Times New Roman" w:hAnsi="Times New Roman" w:cs="Times New Roman"/>
          <w:sz w:val="28"/>
          <w:szCs w:val="28"/>
        </w:rPr>
        <w:t xml:space="preserve">социальными проблемами,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938B5">
        <w:rPr>
          <w:rFonts w:ascii="Times New Roman" w:hAnsi="Times New Roman" w:cs="Times New Roman"/>
          <w:sz w:val="28"/>
          <w:szCs w:val="28"/>
        </w:rPr>
        <w:t>неустойчивым ведением бизнеса или ненадежной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8B5">
        <w:rPr>
          <w:rFonts w:ascii="Times New Roman" w:hAnsi="Times New Roman" w:cs="Times New Roman"/>
          <w:sz w:val="28"/>
          <w:szCs w:val="28"/>
        </w:rPr>
        <w:t xml:space="preserve">практикой корпоративного управления. </w:t>
      </w:r>
    </w:p>
    <w:p w:rsidR="005905ED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5905E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</w:rPr>
        <w:t>ООН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</w:rPr>
        <w:t>по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</w:rPr>
        <w:t>окружающей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905ED">
        <w:rPr>
          <w:rFonts w:ascii="Times New Roman" w:hAnsi="Times New Roman" w:cs="Times New Roman"/>
          <w:b/>
          <w:sz w:val="28"/>
          <w:szCs w:val="28"/>
        </w:rPr>
        <w:t>среде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5905ED">
        <w:rPr>
          <w:rFonts w:ascii="Times New Roman" w:hAnsi="Times New Roman" w:cs="Times New Roman"/>
          <w:b/>
          <w:sz w:val="28"/>
          <w:szCs w:val="28"/>
        </w:rPr>
        <w:t>ЮНЕП</w:t>
      </w:r>
      <w:r w:rsidRPr="005905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(The United Nations Environment Programme, UNEP)</w:t>
      </w:r>
      <w:r w:rsidR="00425EF6" w:rsidRPr="005905E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25EF6" w:rsidRPr="00590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006F5">
        <w:rPr>
          <w:rFonts w:ascii="Times New Roman" w:hAnsi="Times New Roman" w:cs="Times New Roman"/>
          <w:sz w:val="28"/>
          <w:szCs w:val="28"/>
        </w:rPr>
        <w:t xml:space="preserve">уководство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92863">
        <w:rPr>
          <w:rFonts w:ascii="Times New Roman" w:hAnsi="Times New Roman" w:cs="Times New Roman"/>
          <w:sz w:val="28"/>
          <w:szCs w:val="28"/>
        </w:rPr>
        <w:t xml:space="preserve">принципам устойчивого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и управлению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-рисками</w:t>
      </w:r>
      <w:r w:rsidR="00425EF6" w:rsidRPr="00442D96">
        <w:rPr>
          <w:rStyle w:val="a6"/>
          <w:rFonts w:ascii="Times New Roman" w:hAnsi="Times New Roman" w:cs="Times New Roman"/>
          <w:sz w:val="28"/>
          <w:szCs w:val="28"/>
          <w:lang w:val="en-US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5E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  <w:lang w:val="en-US"/>
        </w:rPr>
        <w:t>PSI</w:t>
      </w:r>
      <w:r>
        <w:rPr>
          <w:rFonts w:ascii="Times New Roman" w:hAnsi="Times New Roman" w:cs="Times New Roman"/>
          <w:sz w:val="28"/>
          <w:szCs w:val="28"/>
        </w:rPr>
        <w:t>), разработанное в рамках инициативы по устойчивому страхованию, позиционируется как основа развития страховой отрасли, служащая цели снижения</w:t>
      </w:r>
      <w:r w:rsidRPr="004006F5">
        <w:rPr>
          <w:rFonts w:ascii="Times New Roman" w:hAnsi="Times New Roman" w:cs="Times New Roman"/>
          <w:sz w:val="28"/>
          <w:szCs w:val="28"/>
        </w:rPr>
        <w:t xml:space="preserve"> экологических, социальных и управленческих рисков</w:t>
      </w:r>
      <w:r>
        <w:rPr>
          <w:rFonts w:ascii="Times New Roman" w:hAnsi="Times New Roman" w:cs="Times New Roman"/>
          <w:sz w:val="28"/>
          <w:szCs w:val="28"/>
        </w:rPr>
        <w:t xml:space="preserve"> и повышения</w:t>
      </w:r>
      <w:r w:rsidRPr="0040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Pr="004006F5">
        <w:rPr>
          <w:rFonts w:ascii="Times New Roman" w:hAnsi="Times New Roman" w:cs="Times New Roman"/>
          <w:sz w:val="28"/>
          <w:szCs w:val="28"/>
        </w:rPr>
        <w:t xml:space="preserve">вклада страховой отрасли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 w:rsidRPr="004006F5">
        <w:rPr>
          <w:rFonts w:ascii="Times New Roman" w:hAnsi="Times New Roman" w:cs="Times New Roman"/>
          <w:sz w:val="28"/>
          <w:szCs w:val="28"/>
        </w:rPr>
        <w:t>устойчив</w:t>
      </w:r>
      <w:r>
        <w:rPr>
          <w:rFonts w:ascii="Times New Roman" w:hAnsi="Times New Roman" w:cs="Times New Roman"/>
          <w:sz w:val="28"/>
          <w:szCs w:val="28"/>
        </w:rPr>
        <w:t>ой э</w:t>
      </w:r>
      <w:r w:rsidRPr="004006F5">
        <w:rPr>
          <w:rFonts w:ascii="Times New Roman" w:hAnsi="Times New Roman" w:cs="Times New Roman"/>
          <w:sz w:val="28"/>
          <w:szCs w:val="28"/>
        </w:rPr>
        <w:t>кономик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1D3338">
        <w:rPr>
          <w:rFonts w:ascii="Times New Roman" w:hAnsi="Times New Roman" w:cs="Times New Roman"/>
          <w:sz w:val="28"/>
          <w:szCs w:val="28"/>
        </w:rPr>
        <w:t xml:space="preserve">Концепция </w:t>
      </w:r>
      <w:r>
        <w:rPr>
          <w:rFonts w:ascii="Times New Roman" w:hAnsi="Times New Roman" w:cs="Times New Roman"/>
          <w:sz w:val="28"/>
          <w:szCs w:val="28"/>
        </w:rPr>
        <w:t xml:space="preserve">Руководства </w:t>
      </w:r>
      <w:r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E50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обосновании необходимости </w:t>
      </w:r>
      <w:r w:rsidRPr="004006F5">
        <w:rPr>
          <w:rFonts w:ascii="Times New Roman" w:hAnsi="Times New Roman" w:cs="Times New Roman"/>
          <w:sz w:val="28"/>
          <w:szCs w:val="28"/>
        </w:rPr>
        <w:t>предотвращ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006F5">
        <w:rPr>
          <w:rFonts w:ascii="Times New Roman" w:hAnsi="Times New Roman" w:cs="Times New Roman"/>
          <w:sz w:val="28"/>
          <w:szCs w:val="28"/>
        </w:rPr>
        <w:t xml:space="preserve"> и сниж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006F5">
        <w:rPr>
          <w:rFonts w:ascii="Times New Roman" w:hAnsi="Times New Roman" w:cs="Times New Roman"/>
          <w:sz w:val="28"/>
          <w:szCs w:val="28"/>
        </w:rPr>
        <w:t xml:space="preserve"> ESG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06F5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006F5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улучшении систем</w:t>
      </w:r>
      <w:r w:rsidRPr="004006F5">
        <w:rPr>
          <w:rFonts w:ascii="Times New Roman" w:hAnsi="Times New Roman" w:cs="Times New Roman"/>
          <w:sz w:val="28"/>
          <w:szCs w:val="28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006F5">
        <w:rPr>
          <w:rFonts w:ascii="Times New Roman" w:hAnsi="Times New Roman" w:cs="Times New Roman"/>
          <w:sz w:val="28"/>
          <w:szCs w:val="28"/>
        </w:rPr>
        <w:t xml:space="preserve">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6F5">
        <w:rPr>
          <w:rFonts w:ascii="Times New Roman" w:hAnsi="Times New Roman" w:cs="Times New Roman"/>
          <w:sz w:val="28"/>
          <w:szCs w:val="28"/>
        </w:rPr>
        <w:t>для обеспечения надежной защиты от рисков.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14" w:rsidRDefault="00F66B14" w:rsidP="005905E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0D4">
        <w:rPr>
          <w:rFonts w:ascii="Times New Roman" w:hAnsi="Times New Roman" w:cs="Times New Roman"/>
          <w:sz w:val="28"/>
          <w:szCs w:val="28"/>
        </w:rPr>
        <w:t xml:space="preserve">Принципы устойчивого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как </w:t>
      </w:r>
      <w:r w:rsidRPr="006460D4">
        <w:rPr>
          <w:rFonts w:ascii="Times New Roman" w:hAnsi="Times New Roman" w:cs="Times New Roman"/>
          <w:sz w:val="28"/>
          <w:szCs w:val="28"/>
        </w:rPr>
        <w:t>дорожн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60D4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460D4">
        <w:rPr>
          <w:rFonts w:ascii="Times New Roman" w:hAnsi="Times New Roman" w:cs="Times New Roman"/>
          <w:sz w:val="28"/>
          <w:szCs w:val="28"/>
        </w:rPr>
        <w:t>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0D4">
        <w:rPr>
          <w:rFonts w:ascii="Times New Roman" w:hAnsi="Times New Roman" w:cs="Times New Roman"/>
          <w:sz w:val="28"/>
          <w:szCs w:val="28"/>
        </w:rPr>
        <w:t xml:space="preserve">инновационных решений по управлению рисками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60D4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60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связанными с </w:t>
      </w:r>
      <w:r w:rsidRPr="006460D4">
        <w:rPr>
          <w:rFonts w:ascii="Times New Roman" w:hAnsi="Times New Roman" w:cs="Times New Roman"/>
          <w:sz w:val="28"/>
          <w:szCs w:val="28"/>
        </w:rPr>
        <w:t>продвижени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460D4">
        <w:rPr>
          <w:rFonts w:ascii="Times New Roman" w:hAnsi="Times New Roman" w:cs="Times New Roman"/>
          <w:sz w:val="28"/>
          <w:szCs w:val="28"/>
        </w:rPr>
        <w:t xml:space="preserve"> возобновляемых источников энергии, продовольственной безопасност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6460D4">
        <w:rPr>
          <w:rFonts w:ascii="Times New Roman" w:hAnsi="Times New Roman" w:cs="Times New Roman"/>
          <w:sz w:val="28"/>
          <w:szCs w:val="28"/>
        </w:rPr>
        <w:t>, устойчив</w:t>
      </w:r>
      <w:r>
        <w:rPr>
          <w:rFonts w:ascii="Times New Roman" w:hAnsi="Times New Roman" w:cs="Times New Roman"/>
          <w:sz w:val="28"/>
          <w:szCs w:val="28"/>
        </w:rPr>
        <w:t>остью</w:t>
      </w:r>
      <w:r w:rsidRPr="006460D4">
        <w:rPr>
          <w:rFonts w:ascii="Times New Roman" w:hAnsi="Times New Roman" w:cs="Times New Roman"/>
          <w:sz w:val="28"/>
          <w:szCs w:val="28"/>
        </w:rPr>
        <w:t xml:space="preserve"> городов</w:t>
      </w:r>
      <w:r>
        <w:rPr>
          <w:rFonts w:ascii="Times New Roman" w:hAnsi="Times New Roman" w:cs="Times New Roman"/>
          <w:sz w:val="28"/>
          <w:szCs w:val="28"/>
        </w:rPr>
        <w:t xml:space="preserve"> и сообществ</w:t>
      </w:r>
      <w:r w:rsidRPr="006460D4">
        <w:rPr>
          <w:rFonts w:ascii="Times New Roman" w:hAnsi="Times New Roman" w:cs="Times New Roman"/>
          <w:sz w:val="28"/>
          <w:szCs w:val="28"/>
        </w:rPr>
        <w:t>.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Руководстве</w:t>
      </w:r>
      <w:r w:rsidRPr="00CB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C35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представлено</w:t>
      </w:r>
      <w:r w:rsidRPr="00CB34F8">
        <w:rPr>
          <w:rFonts w:ascii="Times New Roman" w:hAnsi="Times New Roman" w:cs="Times New Roman"/>
          <w:sz w:val="28"/>
          <w:szCs w:val="28"/>
        </w:rPr>
        <w:t xml:space="preserve"> 8 областей, включающих возможные действия по управлению ESG-рисками в страховом бизнесе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3">
        <w:rPr>
          <w:rFonts w:ascii="Times New Roman" w:hAnsi="Times New Roman" w:cs="Times New Roman"/>
          <w:i/>
          <w:sz w:val="28"/>
          <w:szCs w:val="28"/>
        </w:rPr>
        <w:t>Общие подходы</w:t>
      </w:r>
      <w:r w:rsidR="00F02C3D">
        <w:rPr>
          <w:rFonts w:ascii="Times New Roman" w:hAnsi="Times New Roman" w:cs="Times New Roman"/>
          <w:i/>
          <w:sz w:val="28"/>
          <w:szCs w:val="28"/>
        </w:rPr>
        <w:t>.</w:t>
      </w:r>
      <w:r w:rsidR="005905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C3D">
        <w:rPr>
          <w:rFonts w:ascii="Times New Roman" w:hAnsi="Times New Roman" w:cs="Times New Roman"/>
          <w:sz w:val="28"/>
          <w:szCs w:val="28"/>
        </w:rPr>
        <w:t>В</w:t>
      </w:r>
      <w:r w:rsidR="00F02C3D" w:rsidRPr="005F5A5D">
        <w:rPr>
          <w:rFonts w:ascii="Times New Roman" w:hAnsi="Times New Roman" w:cs="Times New Roman"/>
          <w:sz w:val="28"/>
          <w:szCs w:val="28"/>
        </w:rPr>
        <w:t>нимание</w:t>
      </w:r>
      <w:r w:rsidR="00F0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акцентирует</w:t>
      </w:r>
      <w:r w:rsidR="00F02C3D">
        <w:rPr>
          <w:rFonts w:ascii="Times New Roman" w:hAnsi="Times New Roman" w:cs="Times New Roman"/>
          <w:sz w:val="28"/>
          <w:szCs w:val="28"/>
        </w:rPr>
        <w:t>ся</w:t>
      </w:r>
      <w:r w:rsidRPr="005F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том</w:t>
      </w:r>
      <w:r w:rsidRPr="005F5A5D">
        <w:rPr>
          <w:rFonts w:ascii="Times New Roman" w:hAnsi="Times New Roman" w:cs="Times New Roman"/>
          <w:sz w:val="28"/>
          <w:szCs w:val="28"/>
        </w:rPr>
        <w:t xml:space="preserve">, как участники отрасли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F5A5D">
        <w:rPr>
          <w:rFonts w:ascii="Times New Roman" w:hAnsi="Times New Roman" w:cs="Times New Roman"/>
          <w:sz w:val="28"/>
          <w:szCs w:val="28"/>
        </w:rPr>
        <w:t>интегрировать</w:t>
      </w:r>
      <w:r>
        <w:rPr>
          <w:rFonts w:ascii="Times New Roman" w:hAnsi="Times New Roman" w:cs="Times New Roman"/>
          <w:sz w:val="28"/>
          <w:szCs w:val="28"/>
        </w:rPr>
        <w:t xml:space="preserve"> подходы </w:t>
      </w:r>
      <w:r w:rsidRPr="00783C23">
        <w:rPr>
          <w:rFonts w:ascii="Times New Roman" w:hAnsi="Times New Roman" w:cs="Times New Roman"/>
          <w:sz w:val="28"/>
          <w:szCs w:val="28"/>
        </w:rPr>
        <w:t xml:space="preserve">ESG </w:t>
      </w:r>
      <w:r w:rsidRPr="005F5A5D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 xml:space="preserve">ценку страховых рисков </w:t>
      </w:r>
      <w:r w:rsidRPr="005F5A5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F5A5D">
        <w:rPr>
          <w:rFonts w:ascii="Times New Roman" w:hAnsi="Times New Roman" w:cs="Times New Roman"/>
          <w:sz w:val="28"/>
          <w:szCs w:val="28"/>
        </w:rPr>
        <w:t>андеррайтинг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F5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5D">
        <w:rPr>
          <w:rFonts w:ascii="Times New Roman" w:hAnsi="Times New Roman" w:cs="Times New Roman"/>
          <w:sz w:val="28"/>
          <w:szCs w:val="28"/>
        </w:rPr>
        <w:t xml:space="preserve">Руководство включает две высокоуровневые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5A5D">
        <w:rPr>
          <w:rFonts w:ascii="Times New Roman" w:hAnsi="Times New Roman" w:cs="Times New Roman"/>
          <w:sz w:val="28"/>
          <w:szCs w:val="28"/>
        </w:rPr>
        <w:t>тепловые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F5A5D">
        <w:rPr>
          <w:rFonts w:ascii="Times New Roman" w:hAnsi="Times New Roman" w:cs="Times New Roman"/>
          <w:sz w:val="28"/>
          <w:szCs w:val="28"/>
        </w:rPr>
        <w:t>казывающие, где существует потенциальный</w:t>
      </w:r>
      <w:r>
        <w:rPr>
          <w:rFonts w:ascii="Times New Roman" w:hAnsi="Times New Roman" w:cs="Times New Roman"/>
          <w:sz w:val="28"/>
          <w:szCs w:val="28"/>
        </w:rPr>
        <w:t xml:space="preserve"> риск</w:t>
      </w:r>
      <w:r w:rsidRPr="005F5A5D">
        <w:rPr>
          <w:rFonts w:ascii="Times New Roman" w:hAnsi="Times New Roman" w:cs="Times New Roman"/>
          <w:sz w:val="28"/>
          <w:szCs w:val="28"/>
        </w:rPr>
        <w:t xml:space="preserve"> (желтый), потенциальный повышенный риск (оранжевый) или потенциальный высокий или прямой риск (красный).</w:t>
      </w:r>
      <w:r w:rsidR="00F02C3D">
        <w:rPr>
          <w:rFonts w:ascii="Times New Roman" w:hAnsi="Times New Roman" w:cs="Times New Roman"/>
          <w:sz w:val="28"/>
          <w:szCs w:val="28"/>
        </w:rPr>
        <w:t xml:space="preserve"> </w:t>
      </w:r>
      <w:r w:rsidRPr="005F5A5D">
        <w:rPr>
          <w:rFonts w:ascii="Times New Roman" w:hAnsi="Times New Roman" w:cs="Times New Roman"/>
          <w:sz w:val="28"/>
          <w:szCs w:val="28"/>
        </w:rPr>
        <w:t xml:space="preserve">Эта классификация основана на результатах </w:t>
      </w:r>
      <w:r>
        <w:rPr>
          <w:rFonts w:ascii="Times New Roman" w:hAnsi="Times New Roman" w:cs="Times New Roman"/>
          <w:sz w:val="28"/>
          <w:szCs w:val="28"/>
        </w:rPr>
        <w:t>оценок проектной группы</w:t>
      </w:r>
      <w:r w:rsidRPr="005F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F5A5D">
        <w:rPr>
          <w:rFonts w:ascii="Times New Roman" w:hAnsi="Times New Roman" w:cs="Times New Roman"/>
          <w:sz w:val="28"/>
          <w:szCs w:val="28"/>
        </w:rPr>
        <w:t xml:space="preserve">не является ни исчерпывающей, ни окончательной для </w:t>
      </w:r>
      <w:r>
        <w:rPr>
          <w:rFonts w:ascii="Times New Roman" w:hAnsi="Times New Roman" w:cs="Times New Roman"/>
          <w:sz w:val="28"/>
          <w:szCs w:val="28"/>
        </w:rPr>
        <w:t>участников страхового рынка.</w:t>
      </w:r>
    </w:p>
    <w:p w:rsidR="00F66B14" w:rsidRPr="005F5A5D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83">
        <w:rPr>
          <w:rFonts w:ascii="Times New Roman" w:hAnsi="Times New Roman" w:cs="Times New Roman"/>
          <w:i/>
          <w:sz w:val="28"/>
          <w:szCs w:val="28"/>
        </w:rPr>
        <w:t>Определение потенциальных рисков</w:t>
      </w:r>
      <w:r w:rsidR="00F02C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F5A5D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5D">
        <w:rPr>
          <w:rFonts w:ascii="Times New Roman" w:hAnsi="Times New Roman" w:cs="Times New Roman"/>
          <w:sz w:val="28"/>
          <w:szCs w:val="28"/>
        </w:rPr>
        <w:t xml:space="preserve">ряд </w:t>
      </w:r>
      <w:r>
        <w:rPr>
          <w:rFonts w:ascii="Times New Roman" w:hAnsi="Times New Roman" w:cs="Times New Roman"/>
          <w:sz w:val="28"/>
          <w:szCs w:val="28"/>
        </w:rPr>
        <w:t xml:space="preserve">факторов, которые </w:t>
      </w:r>
      <w:r w:rsidRPr="005F5A5D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 xml:space="preserve">помочь </w:t>
      </w:r>
      <w:r w:rsidRPr="005F5A5D">
        <w:rPr>
          <w:rFonts w:ascii="Times New Roman" w:hAnsi="Times New Roman" w:cs="Times New Roman"/>
          <w:sz w:val="28"/>
          <w:szCs w:val="28"/>
        </w:rPr>
        <w:t>определить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 рисков</w:t>
      </w:r>
      <w:r w:rsidRPr="005F5A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5F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страхового бизнеса. </w:t>
      </w:r>
      <w:r w:rsidRPr="005F5A5D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5F5A5D">
        <w:rPr>
          <w:rFonts w:ascii="Times New Roman" w:hAnsi="Times New Roman" w:cs="Times New Roman"/>
          <w:sz w:val="28"/>
          <w:szCs w:val="28"/>
        </w:rPr>
        <w:t>страховщики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5D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F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институциональными инвесторами, Руководство </w:t>
      </w:r>
      <w:r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A41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5F5A5D">
        <w:rPr>
          <w:rFonts w:ascii="Times New Roman" w:hAnsi="Times New Roman" w:cs="Times New Roman"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подходить</w:t>
      </w:r>
      <w:r w:rsidRPr="005F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5A5D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5A5D">
        <w:rPr>
          <w:rFonts w:ascii="Times New Roman" w:hAnsi="Times New Roman" w:cs="Times New Roman"/>
          <w:sz w:val="28"/>
          <w:szCs w:val="28"/>
        </w:rPr>
        <w:t xml:space="preserve"> ESG</w:t>
      </w:r>
      <w:r>
        <w:rPr>
          <w:rFonts w:ascii="Times New Roman" w:hAnsi="Times New Roman" w:cs="Times New Roman"/>
          <w:sz w:val="28"/>
          <w:szCs w:val="28"/>
        </w:rPr>
        <w:t>-рисками как</w:t>
      </w:r>
      <w:r w:rsidRPr="005F5A5D">
        <w:rPr>
          <w:rFonts w:ascii="Times New Roman" w:hAnsi="Times New Roman" w:cs="Times New Roman"/>
          <w:sz w:val="28"/>
          <w:szCs w:val="28"/>
        </w:rPr>
        <w:t xml:space="preserve"> в страховой</w:t>
      </w:r>
      <w:r>
        <w:rPr>
          <w:rFonts w:ascii="Times New Roman" w:hAnsi="Times New Roman" w:cs="Times New Roman"/>
          <w:sz w:val="28"/>
          <w:szCs w:val="28"/>
        </w:rPr>
        <w:t>, так</w:t>
      </w:r>
      <w:r w:rsidRPr="005F5A5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A5D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страховщиков</w:t>
      </w:r>
      <w:r w:rsidRPr="005F5A5D">
        <w:rPr>
          <w:rFonts w:ascii="Times New Roman" w:hAnsi="Times New Roman" w:cs="Times New Roman"/>
          <w:sz w:val="28"/>
          <w:szCs w:val="28"/>
        </w:rPr>
        <w:t>.</w:t>
      </w:r>
    </w:p>
    <w:p w:rsidR="00F66B14" w:rsidRPr="00A910D3" w:rsidRDefault="00F66B14" w:rsidP="00F02C3D">
      <w:pPr>
        <w:pStyle w:val="a3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88B">
        <w:rPr>
          <w:rFonts w:ascii="Times New Roman" w:hAnsi="Times New Roman" w:cs="Times New Roman"/>
          <w:i/>
          <w:sz w:val="28"/>
          <w:szCs w:val="28"/>
        </w:rPr>
        <w:t>Интегр</w:t>
      </w:r>
      <w:r w:rsidR="00F02C3D">
        <w:rPr>
          <w:rFonts w:ascii="Times New Roman" w:hAnsi="Times New Roman" w:cs="Times New Roman"/>
          <w:i/>
          <w:sz w:val="28"/>
          <w:szCs w:val="28"/>
        </w:rPr>
        <w:t xml:space="preserve">ация принципов ESG в управление. </w:t>
      </w:r>
      <w:r w:rsidRPr="00A910D3">
        <w:rPr>
          <w:rFonts w:ascii="Times New Roman" w:hAnsi="Times New Roman" w:cs="Times New Roman"/>
          <w:sz w:val="28"/>
          <w:szCs w:val="28"/>
        </w:rPr>
        <w:t xml:space="preserve">Единого подхода к интеграции </w:t>
      </w:r>
      <w:r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Pr="00A910D3">
        <w:rPr>
          <w:rFonts w:ascii="Times New Roman" w:hAnsi="Times New Roman" w:cs="Times New Roman"/>
          <w:sz w:val="28"/>
          <w:szCs w:val="28"/>
        </w:rPr>
        <w:t xml:space="preserve">ESG </w:t>
      </w:r>
      <w:r>
        <w:rPr>
          <w:rFonts w:ascii="Times New Roman" w:hAnsi="Times New Roman" w:cs="Times New Roman"/>
          <w:sz w:val="28"/>
          <w:szCs w:val="28"/>
        </w:rPr>
        <w:t xml:space="preserve">в систему управления </w:t>
      </w:r>
      <w:r w:rsidRPr="00A910D3">
        <w:rPr>
          <w:rFonts w:ascii="Times New Roman" w:hAnsi="Times New Roman" w:cs="Times New Roman"/>
          <w:sz w:val="28"/>
          <w:szCs w:val="28"/>
        </w:rPr>
        <w:t xml:space="preserve">не существует. </w:t>
      </w:r>
      <w:r w:rsidR="00F02C3D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может быть</w:t>
      </w:r>
      <w:r w:rsidRPr="00A910D3">
        <w:rPr>
          <w:rFonts w:ascii="Times New Roman" w:hAnsi="Times New Roman" w:cs="Times New Roman"/>
          <w:sz w:val="28"/>
          <w:szCs w:val="28"/>
        </w:rPr>
        <w:t xml:space="preserve"> успешно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910D3">
        <w:rPr>
          <w:rFonts w:ascii="Times New Roman" w:hAnsi="Times New Roman" w:cs="Times New Roman"/>
          <w:sz w:val="28"/>
          <w:szCs w:val="28"/>
        </w:rPr>
        <w:t xml:space="preserve">несколькими способами, но гибкость в процессе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A910D3">
        <w:rPr>
          <w:rFonts w:ascii="Times New Roman" w:hAnsi="Times New Roman" w:cs="Times New Roman"/>
          <w:sz w:val="28"/>
          <w:szCs w:val="28"/>
        </w:rPr>
        <w:t>внутренне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1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 управления</w:t>
      </w:r>
      <w:r w:rsidRPr="00A910D3">
        <w:rPr>
          <w:rFonts w:ascii="Times New Roman" w:hAnsi="Times New Roman" w:cs="Times New Roman"/>
          <w:sz w:val="28"/>
          <w:szCs w:val="28"/>
        </w:rPr>
        <w:t xml:space="preserve"> является ключевой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Pr="00A910D3">
        <w:rPr>
          <w:rFonts w:ascii="Times New Roman" w:hAnsi="Times New Roman" w:cs="Times New Roman"/>
          <w:sz w:val="28"/>
          <w:szCs w:val="28"/>
        </w:rPr>
        <w:t xml:space="preserve"> проблем, с которыми сталкивается </w:t>
      </w:r>
      <w:r>
        <w:rPr>
          <w:rFonts w:ascii="Times New Roman" w:hAnsi="Times New Roman" w:cs="Times New Roman"/>
          <w:sz w:val="28"/>
          <w:szCs w:val="28"/>
        </w:rPr>
        <w:t>компания, в том числе</w:t>
      </w:r>
      <w:r w:rsidRPr="00A910D3">
        <w:rPr>
          <w:rFonts w:ascii="Times New Roman" w:hAnsi="Times New Roman" w:cs="Times New Roman"/>
          <w:sz w:val="28"/>
          <w:szCs w:val="28"/>
        </w:rPr>
        <w:t xml:space="preserve"> финансовых, юридических, этических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10D3">
        <w:rPr>
          <w:rFonts w:ascii="Times New Roman" w:hAnsi="Times New Roman" w:cs="Times New Roman"/>
          <w:sz w:val="28"/>
          <w:szCs w:val="28"/>
        </w:rPr>
        <w:t>репутационны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910D3">
        <w:rPr>
          <w:rFonts w:ascii="Times New Roman" w:hAnsi="Times New Roman" w:cs="Times New Roman"/>
          <w:sz w:val="28"/>
          <w:szCs w:val="28"/>
        </w:rPr>
        <w:t>.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EF">
        <w:rPr>
          <w:rFonts w:ascii="Times New Roman" w:hAnsi="Times New Roman" w:cs="Times New Roman"/>
          <w:i/>
          <w:sz w:val="28"/>
          <w:szCs w:val="28"/>
        </w:rPr>
        <w:t>Определение полномочий и ответственности по вопросам ESG</w:t>
      </w:r>
      <w:r w:rsidR="00F02C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D4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рекомендует, чтобы внутренними регламентами страховой организации были четко определены полномочия, функции и ответственность менеджеров и сотрудников страховой организации в выявлении </w:t>
      </w:r>
      <w:r w:rsidRPr="003F35ED">
        <w:rPr>
          <w:rFonts w:ascii="Times New Roman" w:hAnsi="Times New Roman" w:cs="Times New Roman"/>
          <w:sz w:val="28"/>
          <w:szCs w:val="28"/>
        </w:rPr>
        <w:t>ESG</w:t>
      </w:r>
      <w:r>
        <w:rPr>
          <w:rFonts w:ascii="Times New Roman" w:hAnsi="Times New Roman" w:cs="Times New Roman"/>
          <w:sz w:val="28"/>
          <w:szCs w:val="28"/>
        </w:rPr>
        <w:t>-рисков и в их беспристрастной оценке.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EF">
        <w:rPr>
          <w:rFonts w:ascii="Times New Roman" w:hAnsi="Times New Roman" w:cs="Times New Roman"/>
          <w:i/>
          <w:sz w:val="28"/>
          <w:szCs w:val="28"/>
        </w:rPr>
        <w:lastRenderedPageBreak/>
        <w:t>Повышение рисков ESG для лиц, принимающих решения</w:t>
      </w:r>
      <w:r w:rsidR="00F02C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процессе</w:t>
      </w:r>
      <w:r w:rsidRPr="00E2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Pr="00E27B14">
        <w:rPr>
          <w:rFonts w:ascii="Times New Roman" w:hAnsi="Times New Roman" w:cs="Times New Roman"/>
          <w:sz w:val="28"/>
          <w:szCs w:val="28"/>
        </w:rPr>
        <w:t xml:space="preserve">обязанностей по вопросам ESG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E2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правила и регламенты подготовки и вынесения </w:t>
      </w:r>
      <w:r w:rsidRPr="00E27B14">
        <w:rPr>
          <w:rFonts w:ascii="Times New Roman" w:hAnsi="Times New Roman" w:cs="Times New Roman"/>
          <w:sz w:val="28"/>
          <w:szCs w:val="28"/>
        </w:rPr>
        <w:t xml:space="preserve">решений.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Pr="00E27B1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при подготовке решений будут определены</w:t>
      </w:r>
      <w:r w:rsidRPr="00E27B14">
        <w:rPr>
          <w:rFonts w:ascii="Times New Roman" w:hAnsi="Times New Roman" w:cs="Times New Roman"/>
          <w:sz w:val="28"/>
          <w:szCs w:val="28"/>
        </w:rPr>
        <w:t xml:space="preserve"> ESG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7B14">
        <w:rPr>
          <w:rFonts w:ascii="Times New Roman" w:hAnsi="Times New Roman" w:cs="Times New Roman"/>
          <w:sz w:val="28"/>
          <w:szCs w:val="28"/>
        </w:rPr>
        <w:t xml:space="preserve">риски, </w:t>
      </w:r>
      <w:r>
        <w:rPr>
          <w:rFonts w:ascii="Times New Roman" w:hAnsi="Times New Roman" w:cs="Times New Roman"/>
          <w:sz w:val="28"/>
          <w:szCs w:val="28"/>
        </w:rPr>
        <w:t xml:space="preserve">требующие </w:t>
      </w:r>
      <w:r w:rsidRPr="00E27B14">
        <w:rPr>
          <w:rFonts w:ascii="Times New Roman" w:hAnsi="Times New Roman" w:cs="Times New Roman"/>
          <w:sz w:val="28"/>
          <w:szCs w:val="28"/>
        </w:rPr>
        <w:t xml:space="preserve">рассмотрения руководством высшего уровня. 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E27B14">
        <w:rPr>
          <w:rFonts w:ascii="Times New Roman" w:hAnsi="Times New Roman" w:cs="Times New Roman"/>
          <w:sz w:val="28"/>
          <w:szCs w:val="28"/>
        </w:rPr>
        <w:t>риски могут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E27B14">
        <w:rPr>
          <w:rFonts w:ascii="Times New Roman" w:hAnsi="Times New Roman" w:cs="Times New Roman"/>
          <w:sz w:val="28"/>
          <w:szCs w:val="28"/>
        </w:rPr>
        <w:t xml:space="preserve"> относиться к стратегически</w:t>
      </w:r>
      <w:r>
        <w:rPr>
          <w:rFonts w:ascii="Times New Roman" w:hAnsi="Times New Roman" w:cs="Times New Roman"/>
          <w:sz w:val="28"/>
          <w:szCs w:val="28"/>
        </w:rPr>
        <w:t xml:space="preserve"> важным</w:t>
      </w:r>
      <w:r w:rsidRPr="00E27B14">
        <w:rPr>
          <w:rFonts w:ascii="Times New Roman" w:hAnsi="Times New Roman" w:cs="Times New Roman"/>
          <w:sz w:val="28"/>
          <w:szCs w:val="28"/>
        </w:rPr>
        <w:t xml:space="preserve"> клиентам. 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58">
        <w:rPr>
          <w:rFonts w:ascii="Times New Roman" w:hAnsi="Times New Roman" w:cs="Times New Roman"/>
          <w:i/>
          <w:sz w:val="28"/>
          <w:szCs w:val="28"/>
        </w:rPr>
        <w:t>Выявление и анализ ESG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01758">
        <w:rPr>
          <w:rFonts w:ascii="Times New Roman" w:hAnsi="Times New Roman" w:cs="Times New Roman"/>
          <w:i/>
          <w:sz w:val="28"/>
          <w:szCs w:val="28"/>
        </w:rPr>
        <w:t>рисков</w:t>
      </w:r>
      <w:r w:rsidR="00F02C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Ограниченность информации </w:t>
      </w:r>
      <w:r w:rsidRPr="00E27B14">
        <w:rPr>
          <w:rFonts w:ascii="Times New Roman" w:hAnsi="Times New Roman" w:cs="Times New Roman"/>
          <w:sz w:val="28"/>
          <w:szCs w:val="28"/>
        </w:rPr>
        <w:t>является препятствием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14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достоверных сведений, которые должны охватывать весь</w:t>
      </w:r>
      <w:r w:rsidRPr="00E27B14">
        <w:rPr>
          <w:rFonts w:ascii="Times New Roman" w:hAnsi="Times New Roman" w:cs="Times New Roman"/>
          <w:sz w:val="28"/>
          <w:szCs w:val="28"/>
        </w:rPr>
        <w:t xml:space="preserve"> портф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7B1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27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страховой организации</w:t>
      </w:r>
      <w:r w:rsidRPr="00E27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F9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в некоторых случаях использовать альтернативные источники информации. Кроме того, необходимо определить владеет ли организация </w:t>
      </w:r>
      <w:r w:rsidRPr="007A1E8B">
        <w:rPr>
          <w:rFonts w:ascii="Times New Roman" w:hAnsi="Times New Roman" w:cs="Times New Roman"/>
          <w:sz w:val="28"/>
          <w:szCs w:val="28"/>
        </w:rPr>
        <w:t>специализированны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A1E8B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A1E8B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я тематических </w:t>
      </w:r>
      <w:r w:rsidRPr="007A1E8B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B14" w:rsidRDefault="00F66B14" w:rsidP="005905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88">
        <w:rPr>
          <w:rFonts w:ascii="Times New Roman" w:hAnsi="Times New Roman" w:cs="Times New Roman"/>
          <w:i/>
          <w:sz w:val="28"/>
          <w:szCs w:val="28"/>
        </w:rPr>
        <w:t>Принятие решений о ESG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13988">
        <w:rPr>
          <w:rFonts w:ascii="Times New Roman" w:hAnsi="Times New Roman" w:cs="Times New Roman"/>
          <w:i/>
          <w:sz w:val="28"/>
          <w:szCs w:val="28"/>
        </w:rPr>
        <w:t>рисках</w:t>
      </w:r>
      <w:r w:rsidR="00F02C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63F81">
        <w:rPr>
          <w:rFonts w:ascii="Times New Roman" w:hAnsi="Times New Roman" w:cs="Times New Roman"/>
          <w:sz w:val="28"/>
          <w:szCs w:val="28"/>
        </w:rPr>
        <w:t>При анализе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6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проявления ESG-</w:t>
      </w:r>
      <w:r w:rsidRPr="00763F81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6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  <w:lang w:val="en-US"/>
        </w:rPr>
        <w:t>PSI</w:t>
      </w:r>
      <w:r w:rsidRPr="00F9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763F81">
        <w:rPr>
          <w:rFonts w:ascii="Times New Roman" w:hAnsi="Times New Roman" w:cs="Times New Roman"/>
          <w:sz w:val="28"/>
          <w:szCs w:val="28"/>
        </w:rPr>
        <w:t>учитывать, насколько серьезн</w:t>
      </w:r>
      <w:r>
        <w:rPr>
          <w:rFonts w:ascii="Times New Roman" w:hAnsi="Times New Roman" w:cs="Times New Roman"/>
          <w:sz w:val="28"/>
          <w:szCs w:val="28"/>
        </w:rPr>
        <w:t xml:space="preserve">ой является та или иная проблема, и является ли она </w:t>
      </w:r>
      <w:r w:rsidRPr="00763F81">
        <w:rPr>
          <w:rFonts w:ascii="Times New Roman" w:hAnsi="Times New Roman" w:cs="Times New Roman"/>
          <w:sz w:val="28"/>
          <w:szCs w:val="28"/>
        </w:rPr>
        <w:t xml:space="preserve">регулярно возникающей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6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разовой.</w:t>
      </w:r>
      <w:r w:rsidRPr="00763F81">
        <w:rPr>
          <w:rFonts w:ascii="Times New Roman" w:hAnsi="Times New Roman" w:cs="Times New Roman"/>
          <w:sz w:val="28"/>
          <w:szCs w:val="28"/>
        </w:rPr>
        <w:t xml:space="preserve"> Компании</w:t>
      </w:r>
      <w:r>
        <w:rPr>
          <w:rFonts w:ascii="Times New Roman" w:hAnsi="Times New Roman" w:cs="Times New Roman"/>
          <w:sz w:val="28"/>
          <w:szCs w:val="28"/>
        </w:rPr>
        <w:t>, как правило,</w:t>
      </w:r>
      <w:r w:rsidRPr="00763F81">
        <w:rPr>
          <w:rFonts w:ascii="Times New Roman" w:hAnsi="Times New Roman" w:cs="Times New Roman"/>
          <w:sz w:val="28"/>
          <w:szCs w:val="28"/>
        </w:rPr>
        <w:t xml:space="preserve"> публикуют информацию о том, какие действия они предприняли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81">
        <w:rPr>
          <w:rFonts w:ascii="Times New Roman" w:hAnsi="Times New Roman" w:cs="Times New Roman"/>
          <w:sz w:val="28"/>
          <w:szCs w:val="28"/>
        </w:rPr>
        <w:t>ESG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763F81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63F81">
        <w:rPr>
          <w:rFonts w:ascii="Times New Roman" w:hAnsi="Times New Roman" w:cs="Times New Roman"/>
          <w:sz w:val="28"/>
          <w:szCs w:val="28"/>
        </w:rPr>
        <w:t>, о которых сообщают СМИ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63F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Pr="00763F81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763F81">
        <w:rPr>
          <w:rFonts w:ascii="Times New Roman" w:hAnsi="Times New Roman" w:cs="Times New Roman"/>
          <w:sz w:val="28"/>
          <w:szCs w:val="28"/>
        </w:rPr>
        <w:t xml:space="preserve">т помочь </w:t>
      </w:r>
      <w:r>
        <w:rPr>
          <w:rFonts w:ascii="Times New Roman" w:hAnsi="Times New Roman" w:cs="Times New Roman"/>
          <w:sz w:val="28"/>
          <w:szCs w:val="28"/>
        </w:rPr>
        <w:t>принять обоснованное</w:t>
      </w:r>
      <w:r w:rsidRPr="00763F81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66B14" w:rsidRDefault="00F66B14" w:rsidP="00F02C3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42">
        <w:rPr>
          <w:rFonts w:ascii="Times New Roman" w:hAnsi="Times New Roman" w:cs="Times New Roman"/>
          <w:i/>
          <w:sz w:val="28"/>
          <w:szCs w:val="28"/>
        </w:rPr>
        <w:t>Отчетность о ESG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E4242">
        <w:rPr>
          <w:rFonts w:ascii="Times New Roman" w:hAnsi="Times New Roman" w:cs="Times New Roman"/>
          <w:i/>
          <w:sz w:val="28"/>
          <w:szCs w:val="28"/>
        </w:rPr>
        <w:t>рисках</w:t>
      </w:r>
      <w:r w:rsidR="00F02C3D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Ожидается, что п</w:t>
      </w:r>
      <w:r w:rsidRPr="00763F81">
        <w:rPr>
          <w:rFonts w:ascii="Times New Roman" w:hAnsi="Times New Roman" w:cs="Times New Roman"/>
          <w:sz w:val="28"/>
          <w:szCs w:val="28"/>
        </w:rPr>
        <w:t xml:space="preserve">о мере развития </w:t>
      </w:r>
      <w:r>
        <w:rPr>
          <w:rFonts w:ascii="Times New Roman" w:hAnsi="Times New Roman" w:cs="Times New Roman"/>
          <w:sz w:val="28"/>
          <w:szCs w:val="28"/>
        </w:rPr>
        <w:t>практики оценки</w:t>
      </w:r>
      <w:r w:rsidRPr="00763F81">
        <w:rPr>
          <w:rFonts w:ascii="Times New Roman" w:hAnsi="Times New Roman" w:cs="Times New Roman"/>
          <w:sz w:val="28"/>
          <w:szCs w:val="28"/>
        </w:rPr>
        <w:t xml:space="preserve"> ESG</w:t>
      </w:r>
      <w:r>
        <w:rPr>
          <w:rFonts w:ascii="Times New Roman" w:hAnsi="Times New Roman" w:cs="Times New Roman"/>
          <w:sz w:val="28"/>
          <w:szCs w:val="28"/>
        </w:rPr>
        <w:t>-рисков</w:t>
      </w:r>
      <w:r w:rsidRPr="0076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развиваться и </w:t>
      </w:r>
      <w:r w:rsidRPr="00763F81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763F81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6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763F81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63F81">
        <w:rPr>
          <w:rFonts w:ascii="Times New Roman" w:hAnsi="Times New Roman" w:cs="Times New Roman"/>
          <w:sz w:val="28"/>
          <w:szCs w:val="28"/>
        </w:rPr>
        <w:t xml:space="preserve"> внедрения</w:t>
      </w:r>
      <w:r>
        <w:rPr>
          <w:rFonts w:ascii="Times New Roman" w:hAnsi="Times New Roman" w:cs="Times New Roman"/>
          <w:sz w:val="28"/>
          <w:szCs w:val="28"/>
        </w:rPr>
        <w:t xml:space="preserve"> принципов </w:t>
      </w:r>
      <w:r w:rsidRPr="00763F81">
        <w:rPr>
          <w:rFonts w:ascii="Times New Roman" w:hAnsi="Times New Roman" w:cs="Times New Roman"/>
          <w:sz w:val="28"/>
          <w:szCs w:val="28"/>
        </w:rPr>
        <w:t xml:space="preserve">ESG. По мере того как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763F81">
        <w:rPr>
          <w:rFonts w:ascii="Times New Roman" w:hAnsi="Times New Roman" w:cs="Times New Roman"/>
          <w:sz w:val="28"/>
          <w:szCs w:val="28"/>
        </w:rPr>
        <w:t xml:space="preserve"> становятся более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 w:rsidRPr="00763F81">
        <w:rPr>
          <w:rFonts w:ascii="Times New Roman" w:hAnsi="Times New Roman" w:cs="Times New Roman"/>
          <w:sz w:val="28"/>
          <w:szCs w:val="28"/>
        </w:rPr>
        <w:t xml:space="preserve"> или по мере того, как внешние заинтересованные стороны </w:t>
      </w:r>
      <w:r>
        <w:rPr>
          <w:rFonts w:ascii="Times New Roman" w:hAnsi="Times New Roman" w:cs="Times New Roman"/>
          <w:sz w:val="28"/>
          <w:szCs w:val="28"/>
        </w:rPr>
        <w:t>будут обладать</w:t>
      </w:r>
      <w:r w:rsidRPr="00763F81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763F81">
        <w:rPr>
          <w:rFonts w:ascii="Times New Roman" w:hAnsi="Times New Roman" w:cs="Times New Roman"/>
          <w:sz w:val="28"/>
          <w:szCs w:val="28"/>
        </w:rPr>
        <w:t>надежно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763F81">
        <w:rPr>
          <w:rFonts w:ascii="Times New Roman" w:hAnsi="Times New Roman" w:cs="Times New Roman"/>
          <w:sz w:val="28"/>
          <w:szCs w:val="28"/>
        </w:rPr>
        <w:t xml:space="preserve"> системы управления ESG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3F81">
        <w:rPr>
          <w:rFonts w:ascii="Times New Roman" w:hAnsi="Times New Roman" w:cs="Times New Roman"/>
          <w:sz w:val="28"/>
          <w:szCs w:val="28"/>
        </w:rPr>
        <w:t xml:space="preserve">рисками, может быть внедрена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763F81">
        <w:rPr>
          <w:rFonts w:ascii="Times New Roman" w:hAnsi="Times New Roman" w:cs="Times New Roman"/>
          <w:sz w:val="28"/>
          <w:szCs w:val="28"/>
        </w:rPr>
        <w:t>внешн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63F81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3F8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Pr="00763F81">
        <w:rPr>
          <w:rFonts w:ascii="Times New Roman" w:hAnsi="Times New Roman" w:cs="Times New Roman"/>
          <w:sz w:val="28"/>
          <w:szCs w:val="28"/>
        </w:rPr>
        <w:t xml:space="preserve">вопросам. </w:t>
      </w:r>
    </w:p>
    <w:p w:rsidR="00F02C3D" w:rsidRDefault="00F02C3D" w:rsidP="00F02C3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36">
        <w:rPr>
          <w:rFonts w:ascii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Приведенные примеры указывают на то, что сегодня формируются новые рамки деятельности компаний финансового сектора</w:t>
      </w:r>
      <w:r w:rsidR="003F18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3F1836">
        <w:rPr>
          <w:rFonts w:ascii="Times New Roman" w:hAnsi="Times New Roman" w:cs="Times New Roman"/>
          <w:sz w:val="28"/>
          <w:szCs w:val="28"/>
        </w:rPr>
        <w:t xml:space="preserve"> международным организациям </w:t>
      </w:r>
      <w:r>
        <w:rPr>
          <w:rFonts w:ascii="Times New Roman" w:hAnsi="Times New Roman" w:cs="Times New Roman"/>
          <w:sz w:val="28"/>
          <w:szCs w:val="28"/>
        </w:rPr>
        <w:t>достигать двух целей:</w:t>
      </w:r>
    </w:p>
    <w:p w:rsidR="00F02C3D" w:rsidRDefault="003F1836" w:rsidP="003F1836">
      <w:pPr>
        <w:pStyle w:val="a3"/>
        <w:numPr>
          <w:ilvl w:val="0"/>
          <w:numId w:val="2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02C3D">
        <w:rPr>
          <w:rFonts w:ascii="Times New Roman" w:hAnsi="Times New Roman" w:cs="Times New Roman"/>
          <w:sz w:val="28"/>
          <w:szCs w:val="28"/>
        </w:rPr>
        <w:t xml:space="preserve">оздавать среду, в которой накапливается </w:t>
      </w:r>
      <w:r>
        <w:rPr>
          <w:rFonts w:ascii="Times New Roman" w:hAnsi="Times New Roman" w:cs="Times New Roman"/>
          <w:sz w:val="28"/>
          <w:szCs w:val="28"/>
        </w:rPr>
        <w:t>полн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 достоверн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C3D">
        <w:rPr>
          <w:rFonts w:ascii="Times New Roman" w:hAnsi="Times New Roman" w:cs="Times New Roman"/>
          <w:sz w:val="28"/>
          <w:szCs w:val="28"/>
        </w:rPr>
        <w:t>информация о рисках</w:t>
      </w:r>
      <w:r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F02C3D">
        <w:rPr>
          <w:rFonts w:ascii="Times New Roman" w:hAnsi="Times New Roman" w:cs="Times New Roman"/>
          <w:sz w:val="28"/>
          <w:szCs w:val="28"/>
        </w:rPr>
        <w:t>, что должно повысить обоснованность и качество принимаемых инвесторами решений;</w:t>
      </w:r>
    </w:p>
    <w:p w:rsidR="00F02C3D" w:rsidRPr="00F02C3D" w:rsidRDefault="003F1836" w:rsidP="003F1836">
      <w:pPr>
        <w:pStyle w:val="a3"/>
        <w:numPr>
          <w:ilvl w:val="0"/>
          <w:numId w:val="24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методологию учета новых рисков, оказывающих существенное влияние на будущую эффективность финансовых компаний (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>-риски) и подходы к составлению отчетности в этой сфере.</w:t>
      </w:r>
    </w:p>
    <w:p w:rsidR="00F66B14" w:rsidRPr="00F66B14" w:rsidRDefault="00F66B14" w:rsidP="00D951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1AC" w:rsidRPr="00D951AC" w:rsidRDefault="00D951AC" w:rsidP="00D951A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1AC" w:rsidRPr="00D951AC" w:rsidSect="00C5643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14" w:rsidRDefault="00F66B14" w:rsidP="00F66B14">
      <w:pPr>
        <w:spacing w:after="0" w:line="240" w:lineRule="auto"/>
      </w:pPr>
      <w:r>
        <w:separator/>
      </w:r>
    </w:p>
  </w:endnote>
  <w:endnote w:type="continuationSeparator" w:id="0">
    <w:p w:rsidR="00F66B14" w:rsidRDefault="00F66B14" w:rsidP="00F6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14" w:rsidRDefault="00F66B14" w:rsidP="00F66B14">
      <w:pPr>
        <w:spacing w:after="0" w:line="240" w:lineRule="auto"/>
      </w:pPr>
      <w:r>
        <w:separator/>
      </w:r>
    </w:p>
  </w:footnote>
  <w:footnote w:type="continuationSeparator" w:id="0">
    <w:p w:rsidR="00F66B14" w:rsidRDefault="00F66B14" w:rsidP="00F66B14">
      <w:pPr>
        <w:spacing w:after="0" w:line="240" w:lineRule="auto"/>
      </w:pPr>
      <w:r>
        <w:continuationSeparator/>
      </w:r>
    </w:p>
  </w:footnote>
  <w:footnote w:id="1">
    <w:p w:rsidR="00425EF6" w:rsidRPr="002A6D96" w:rsidRDefault="00425EF6" w:rsidP="007074B9">
      <w:pPr>
        <w:pStyle w:val="a4"/>
        <w:jc w:val="both"/>
      </w:pPr>
      <w:r w:rsidRPr="00F15F4A">
        <w:rPr>
          <w:rStyle w:val="a6"/>
          <w:rFonts w:ascii="Times New Roman" w:hAnsi="Times New Roman" w:cs="Times New Roman"/>
        </w:rPr>
        <w:footnoteRef/>
      </w:r>
      <w:r w:rsidRPr="00F15F4A">
        <w:rPr>
          <w:rFonts w:ascii="Times New Roman" w:hAnsi="Times New Roman" w:cs="Times New Roman"/>
          <w:lang w:val="en-US"/>
        </w:rPr>
        <w:t xml:space="preserve"> Recommendations of the Task Force on Climate-related Financial Disclosures.</w:t>
      </w:r>
      <w:r w:rsidRPr="0033053F">
        <w:rPr>
          <w:rFonts w:ascii="Times New Roman" w:hAnsi="Times New Roman" w:cs="Times New Roman"/>
          <w:lang w:val="en-US"/>
        </w:rPr>
        <w:t xml:space="preserve"> </w:t>
      </w:r>
      <w:r w:rsidRPr="00F15F4A">
        <w:rPr>
          <w:rFonts w:ascii="Times New Roman" w:hAnsi="Times New Roman" w:cs="Times New Roman"/>
          <w:lang w:val="en-US"/>
        </w:rPr>
        <w:t>URL</w:t>
      </w:r>
      <w:r w:rsidRPr="00F15F4A">
        <w:rPr>
          <w:rFonts w:ascii="Times New Roman" w:hAnsi="Times New Roman" w:cs="Times New Roman"/>
        </w:rPr>
        <w:t xml:space="preserve">: </w:t>
      </w:r>
      <w:r w:rsidRPr="002A6D96">
        <w:rPr>
          <w:rFonts w:ascii="Times New Roman" w:hAnsi="Times New Roman" w:cs="Times New Roman"/>
          <w:lang w:val="en-US"/>
        </w:rPr>
        <w:t>https</w:t>
      </w:r>
      <w:r w:rsidRPr="002A6D96">
        <w:rPr>
          <w:rFonts w:ascii="Times New Roman" w:hAnsi="Times New Roman" w:cs="Times New Roman"/>
        </w:rPr>
        <w:t>://</w:t>
      </w:r>
      <w:r w:rsidRPr="002A6D96">
        <w:rPr>
          <w:rFonts w:ascii="Times New Roman" w:hAnsi="Times New Roman" w:cs="Times New Roman"/>
          <w:lang w:val="en-US"/>
        </w:rPr>
        <w:t>assets</w:t>
      </w:r>
      <w:r w:rsidRPr="002A6D96">
        <w:rPr>
          <w:rFonts w:ascii="Times New Roman" w:hAnsi="Times New Roman" w:cs="Times New Roman"/>
        </w:rPr>
        <w:t>.</w:t>
      </w:r>
      <w:proofErr w:type="spellStart"/>
      <w:r w:rsidRPr="002A6D96">
        <w:rPr>
          <w:rFonts w:ascii="Times New Roman" w:hAnsi="Times New Roman" w:cs="Times New Roman"/>
          <w:lang w:val="en-US"/>
        </w:rPr>
        <w:t>bbhub</w:t>
      </w:r>
      <w:proofErr w:type="spellEnd"/>
      <w:r w:rsidRPr="002A6D96">
        <w:rPr>
          <w:rFonts w:ascii="Times New Roman" w:hAnsi="Times New Roman" w:cs="Times New Roman"/>
        </w:rPr>
        <w:t>.</w:t>
      </w:r>
      <w:proofErr w:type="spellStart"/>
      <w:r w:rsidRPr="002A6D96">
        <w:rPr>
          <w:rFonts w:ascii="Times New Roman" w:hAnsi="Times New Roman" w:cs="Times New Roman"/>
          <w:lang w:val="en-US"/>
        </w:rPr>
        <w:t>io</w:t>
      </w:r>
      <w:proofErr w:type="spellEnd"/>
      <w:r w:rsidRPr="002A6D96">
        <w:rPr>
          <w:rFonts w:ascii="Times New Roman" w:hAnsi="Times New Roman" w:cs="Times New Roman"/>
        </w:rPr>
        <w:t>/</w:t>
      </w:r>
      <w:r w:rsidRPr="002A6D96">
        <w:rPr>
          <w:rFonts w:ascii="Times New Roman" w:hAnsi="Times New Roman" w:cs="Times New Roman"/>
          <w:lang w:val="en-US"/>
        </w:rPr>
        <w:t>company</w:t>
      </w:r>
      <w:r w:rsidRPr="002A6D96">
        <w:rPr>
          <w:rFonts w:ascii="Times New Roman" w:hAnsi="Times New Roman" w:cs="Times New Roman"/>
        </w:rPr>
        <w:t>/</w:t>
      </w:r>
      <w:r w:rsidRPr="002A6D96">
        <w:rPr>
          <w:rFonts w:ascii="Times New Roman" w:hAnsi="Times New Roman" w:cs="Times New Roman"/>
          <w:lang w:val="en-US"/>
        </w:rPr>
        <w:t>sites</w:t>
      </w:r>
      <w:r w:rsidRPr="002A6D96">
        <w:rPr>
          <w:rFonts w:ascii="Times New Roman" w:hAnsi="Times New Roman" w:cs="Times New Roman"/>
        </w:rPr>
        <w:t>/60/2021/10/</w:t>
      </w:r>
      <w:r w:rsidRPr="002A6D96">
        <w:rPr>
          <w:rFonts w:ascii="Times New Roman" w:hAnsi="Times New Roman" w:cs="Times New Roman"/>
          <w:lang w:val="en-US"/>
        </w:rPr>
        <w:t>FINAL</w:t>
      </w:r>
      <w:r w:rsidRPr="002A6D96">
        <w:rPr>
          <w:rFonts w:ascii="Times New Roman" w:hAnsi="Times New Roman" w:cs="Times New Roman"/>
        </w:rPr>
        <w:t>-2017-</w:t>
      </w:r>
      <w:r w:rsidRPr="002A6D96">
        <w:rPr>
          <w:rFonts w:ascii="Times New Roman" w:hAnsi="Times New Roman" w:cs="Times New Roman"/>
          <w:lang w:val="en-US"/>
        </w:rPr>
        <w:t>TCFD</w:t>
      </w:r>
      <w:r w:rsidRPr="002A6D96">
        <w:rPr>
          <w:rFonts w:ascii="Times New Roman" w:hAnsi="Times New Roman" w:cs="Times New Roman"/>
        </w:rPr>
        <w:t>-</w:t>
      </w:r>
      <w:r w:rsidRPr="002A6D96">
        <w:rPr>
          <w:rFonts w:ascii="Times New Roman" w:hAnsi="Times New Roman" w:cs="Times New Roman"/>
          <w:lang w:val="en-US"/>
        </w:rPr>
        <w:t>Report</w:t>
      </w:r>
      <w:r w:rsidRPr="002A6D96">
        <w:rPr>
          <w:rFonts w:ascii="Times New Roman" w:hAnsi="Times New Roman" w:cs="Times New Roman"/>
        </w:rPr>
        <w:t>.</w:t>
      </w:r>
      <w:r w:rsidRPr="002A6D96">
        <w:rPr>
          <w:rFonts w:ascii="Times New Roman" w:hAnsi="Times New Roman" w:cs="Times New Roman"/>
          <w:lang w:val="en-US"/>
        </w:rPr>
        <w:t>pdf</w:t>
      </w:r>
      <w:r w:rsidRPr="002A6D9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дата обращения </w:t>
      </w:r>
      <w:r w:rsidR="007074B9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7074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.2023).</w:t>
      </w:r>
    </w:p>
  </w:footnote>
  <w:footnote w:id="2">
    <w:p w:rsidR="00F66B14" w:rsidRPr="00C1729F" w:rsidRDefault="00F66B14" w:rsidP="007074B9">
      <w:pPr>
        <w:pStyle w:val="a4"/>
        <w:jc w:val="both"/>
        <w:rPr>
          <w:rFonts w:ascii="Times New Roman" w:hAnsi="Times New Roman" w:cs="Times New Roman"/>
        </w:rPr>
      </w:pPr>
      <w:r w:rsidRPr="00C1729F">
        <w:rPr>
          <w:rStyle w:val="a6"/>
          <w:rFonts w:ascii="Times New Roman" w:hAnsi="Times New Roman" w:cs="Times New Roman"/>
        </w:rPr>
        <w:footnoteRef/>
      </w:r>
      <w:r w:rsidRPr="00C1729F">
        <w:rPr>
          <w:rFonts w:ascii="Times New Roman" w:hAnsi="Times New Roman" w:cs="Times New Roman"/>
          <w:lang w:val="en-US"/>
        </w:rPr>
        <w:t xml:space="preserve"> IOPS Supervisory Guidelines on the Integration of ESG Factors in the Investment and Risk Management of Pension Funds. IOPS</w:t>
      </w:r>
      <w:r w:rsidRPr="00A86170">
        <w:rPr>
          <w:rFonts w:ascii="Times New Roman" w:hAnsi="Times New Roman" w:cs="Times New Roman"/>
        </w:rPr>
        <w:t xml:space="preserve"> 2019. </w:t>
      </w:r>
      <w:r w:rsidRPr="00C1729F">
        <w:rPr>
          <w:rFonts w:ascii="Times New Roman" w:hAnsi="Times New Roman" w:cs="Times New Roman"/>
          <w:lang w:val="en-US"/>
        </w:rPr>
        <w:t>URL</w:t>
      </w:r>
      <w:r w:rsidRPr="00C1729F">
        <w:rPr>
          <w:rFonts w:ascii="Times New Roman" w:hAnsi="Times New Roman" w:cs="Times New Roman"/>
        </w:rPr>
        <w:t xml:space="preserve">: </w:t>
      </w:r>
      <w:r w:rsidRPr="00C1729F">
        <w:rPr>
          <w:rFonts w:ascii="Times New Roman" w:hAnsi="Times New Roman" w:cs="Times New Roman"/>
          <w:lang w:val="en-US"/>
        </w:rPr>
        <w:t>http</w:t>
      </w:r>
      <w:r w:rsidRPr="00C1729F">
        <w:rPr>
          <w:rFonts w:ascii="Times New Roman" w:hAnsi="Times New Roman" w:cs="Times New Roman"/>
        </w:rPr>
        <w:t>://</w:t>
      </w:r>
      <w:r w:rsidRPr="00C1729F">
        <w:rPr>
          <w:rFonts w:ascii="Times New Roman" w:hAnsi="Times New Roman" w:cs="Times New Roman"/>
          <w:lang w:val="en-US"/>
        </w:rPr>
        <w:t>www</w:t>
      </w:r>
      <w:r w:rsidRPr="00C1729F">
        <w:rPr>
          <w:rFonts w:ascii="Times New Roman" w:hAnsi="Times New Roman" w:cs="Times New Roman"/>
        </w:rPr>
        <w:t>.</w:t>
      </w:r>
      <w:proofErr w:type="spellStart"/>
      <w:r w:rsidRPr="00C1729F">
        <w:rPr>
          <w:rFonts w:ascii="Times New Roman" w:hAnsi="Times New Roman" w:cs="Times New Roman"/>
          <w:lang w:val="en-US"/>
        </w:rPr>
        <w:t>iopsweb</w:t>
      </w:r>
      <w:proofErr w:type="spellEnd"/>
      <w:r w:rsidRPr="00C1729F">
        <w:rPr>
          <w:rFonts w:ascii="Times New Roman" w:hAnsi="Times New Roman" w:cs="Times New Roman"/>
        </w:rPr>
        <w:t>.</w:t>
      </w:r>
      <w:r w:rsidRPr="00C1729F">
        <w:rPr>
          <w:rFonts w:ascii="Times New Roman" w:hAnsi="Times New Roman" w:cs="Times New Roman"/>
          <w:lang w:val="en-US"/>
        </w:rPr>
        <w:t>org</w:t>
      </w:r>
      <w:r w:rsidRPr="00C1729F">
        <w:rPr>
          <w:rFonts w:ascii="Times New Roman" w:hAnsi="Times New Roman" w:cs="Times New Roman"/>
        </w:rPr>
        <w:t>/</w:t>
      </w:r>
      <w:r w:rsidRPr="00C1729F">
        <w:rPr>
          <w:rFonts w:ascii="Times New Roman" w:hAnsi="Times New Roman" w:cs="Times New Roman"/>
          <w:lang w:val="en-US"/>
        </w:rPr>
        <w:t>IOPS</w:t>
      </w:r>
      <w:r w:rsidRPr="00C1729F">
        <w:rPr>
          <w:rFonts w:ascii="Times New Roman" w:hAnsi="Times New Roman" w:cs="Times New Roman"/>
        </w:rPr>
        <w:t>-</w:t>
      </w:r>
      <w:r w:rsidRPr="00C1729F">
        <w:rPr>
          <w:rFonts w:ascii="Times New Roman" w:hAnsi="Times New Roman" w:cs="Times New Roman"/>
          <w:lang w:val="en-US"/>
        </w:rPr>
        <w:t>Supervisory</w:t>
      </w:r>
      <w:r w:rsidRPr="00C1729F">
        <w:rPr>
          <w:rFonts w:ascii="Times New Roman" w:hAnsi="Times New Roman" w:cs="Times New Roman"/>
        </w:rPr>
        <w:t>-</w:t>
      </w:r>
      <w:r w:rsidRPr="00C1729F">
        <w:rPr>
          <w:rFonts w:ascii="Times New Roman" w:hAnsi="Times New Roman" w:cs="Times New Roman"/>
          <w:lang w:val="en-US"/>
        </w:rPr>
        <w:t>guidelines</w:t>
      </w:r>
      <w:r w:rsidRPr="00C1729F">
        <w:rPr>
          <w:rFonts w:ascii="Times New Roman" w:hAnsi="Times New Roman" w:cs="Times New Roman"/>
        </w:rPr>
        <w:t>-</w:t>
      </w:r>
      <w:r w:rsidRPr="00C1729F">
        <w:rPr>
          <w:rFonts w:ascii="Times New Roman" w:hAnsi="Times New Roman" w:cs="Times New Roman"/>
          <w:lang w:val="en-US"/>
        </w:rPr>
        <w:t>integration</w:t>
      </w:r>
      <w:r w:rsidRPr="00C1729F">
        <w:rPr>
          <w:rFonts w:ascii="Times New Roman" w:hAnsi="Times New Roman" w:cs="Times New Roman"/>
        </w:rPr>
        <w:t>-</w:t>
      </w:r>
      <w:r w:rsidRPr="00C1729F">
        <w:rPr>
          <w:rFonts w:ascii="Times New Roman" w:hAnsi="Times New Roman" w:cs="Times New Roman"/>
          <w:lang w:val="en-US"/>
        </w:rPr>
        <w:t>ESG</w:t>
      </w:r>
      <w:r w:rsidRPr="00C1729F">
        <w:rPr>
          <w:rFonts w:ascii="Times New Roman" w:hAnsi="Times New Roman" w:cs="Times New Roman"/>
        </w:rPr>
        <w:t>-</w:t>
      </w:r>
      <w:r w:rsidRPr="00C1729F">
        <w:rPr>
          <w:rFonts w:ascii="Times New Roman" w:hAnsi="Times New Roman" w:cs="Times New Roman"/>
          <w:lang w:val="en-US"/>
        </w:rPr>
        <w:t>factors</w:t>
      </w:r>
      <w:r w:rsidRPr="00C1729F">
        <w:rPr>
          <w:rFonts w:ascii="Times New Roman" w:hAnsi="Times New Roman" w:cs="Times New Roman"/>
        </w:rPr>
        <w:t>.</w:t>
      </w:r>
      <w:r w:rsidRPr="00C1729F">
        <w:rPr>
          <w:rFonts w:ascii="Times New Roman" w:hAnsi="Times New Roman" w:cs="Times New Roman"/>
          <w:lang w:val="en-US"/>
        </w:rPr>
        <w:t>pdf</w:t>
      </w:r>
      <w:r w:rsidR="007074B9">
        <w:rPr>
          <w:rFonts w:ascii="Times New Roman" w:hAnsi="Times New Roman" w:cs="Times New Roman"/>
        </w:rPr>
        <w:t xml:space="preserve"> (дата обращения </w:t>
      </w:r>
      <w:r w:rsidRPr="00C1729F">
        <w:rPr>
          <w:rFonts w:ascii="Times New Roman" w:hAnsi="Times New Roman" w:cs="Times New Roman"/>
        </w:rPr>
        <w:t>1</w:t>
      </w:r>
      <w:r w:rsidR="007074B9">
        <w:rPr>
          <w:rFonts w:ascii="Times New Roman" w:hAnsi="Times New Roman" w:cs="Times New Roman"/>
        </w:rPr>
        <w:t>2</w:t>
      </w:r>
      <w:r w:rsidRPr="00C1729F">
        <w:rPr>
          <w:rFonts w:ascii="Times New Roman" w:hAnsi="Times New Roman" w:cs="Times New Roman"/>
        </w:rPr>
        <w:t>.0</w:t>
      </w:r>
      <w:r w:rsidR="007074B9">
        <w:rPr>
          <w:rFonts w:ascii="Times New Roman" w:hAnsi="Times New Roman" w:cs="Times New Roman"/>
        </w:rPr>
        <w:t>3</w:t>
      </w:r>
      <w:r w:rsidRPr="00C1729F">
        <w:rPr>
          <w:rFonts w:ascii="Times New Roman" w:hAnsi="Times New Roman" w:cs="Times New Roman"/>
        </w:rPr>
        <w:t xml:space="preserve">.2023). </w:t>
      </w:r>
    </w:p>
  </w:footnote>
  <w:footnote w:id="3">
    <w:p w:rsidR="00425EF6" w:rsidRPr="00073314" w:rsidRDefault="00425EF6" w:rsidP="007074B9">
      <w:pPr>
        <w:pStyle w:val="a4"/>
        <w:jc w:val="both"/>
        <w:rPr>
          <w:rFonts w:ascii="Times New Roman" w:hAnsi="Times New Roman" w:cs="Times New Roman"/>
        </w:rPr>
      </w:pPr>
      <w:r w:rsidRPr="00073314">
        <w:rPr>
          <w:rStyle w:val="a6"/>
          <w:rFonts w:ascii="Times New Roman" w:hAnsi="Times New Roman" w:cs="Times New Roman"/>
        </w:rPr>
        <w:footnoteRef/>
      </w:r>
      <w:r w:rsidRPr="00073314">
        <w:rPr>
          <w:rFonts w:ascii="Times New Roman" w:hAnsi="Times New Roman" w:cs="Times New Roman"/>
          <w:lang w:val="en-US"/>
        </w:rPr>
        <w:t xml:space="preserve"> Managing environmental, social and governance risks in non-life insurance business.</w:t>
      </w:r>
      <w:r w:rsidR="007074B9" w:rsidRPr="007074B9">
        <w:rPr>
          <w:rFonts w:ascii="Times New Roman" w:hAnsi="Times New Roman" w:cs="Times New Roman"/>
          <w:lang w:val="en-US"/>
        </w:rPr>
        <w:t xml:space="preserve"> </w:t>
      </w:r>
      <w:r w:rsidRPr="00073314">
        <w:rPr>
          <w:rFonts w:ascii="Times New Roman" w:hAnsi="Times New Roman" w:cs="Times New Roman"/>
          <w:lang w:val="en-US"/>
        </w:rPr>
        <w:t xml:space="preserve">2020. </w:t>
      </w:r>
      <w:r>
        <w:rPr>
          <w:rFonts w:ascii="Times New Roman" w:hAnsi="Times New Roman" w:cs="Times New Roman"/>
          <w:lang w:val="en-US"/>
        </w:rPr>
        <w:t>URL</w:t>
      </w:r>
      <w:r w:rsidRPr="00073314">
        <w:rPr>
          <w:rFonts w:ascii="Times New Roman" w:hAnsi="Times New Roman" w:cs="Times New Roman"/>
        </w:rPr>
        <w:t xml:space="preserve">: </w:t>
      </w:r>
      <w:r w:rsidRPr="00073314">
        <w:rPr>
          <w:rFonts w:ascii="Times New Roman" w:hAnsi="Times New Roman" w:cs="Times New Roman"/>
          <w:lang w:val="en-US"/>
        </w:rPr>
        <w:t>https</w:t>
      </w:r>
      <w:r w:rsidRPr="00073314">
        <w:rPr>
          <w:rFonts w:ascii="Times New Roman" w:hAnsi="Times New Roman" w:cs="Times New Roman"/>
        </w:rPr>
        <w:t>://</w:t>
      </w:r>
      <w:r w:rsidRPr="00073314">
        <w:rPr>
          <w:rFonts w:ascii="Times New Roman" w:hAnsi="Times New Roman" w:cs="Times New Roman"/>
          <w:lang w:val="en-US"/>
        </w:rPr>
        <w:t>www</w:t>
      </w:r>
      <w:r w:rsidRPr="00073314">
        <w:rPr>
          <w:rFonts w:ascii="Times New Roman" w:hAnsi="Times New Roman" w:cs="Times New Roman"/>
        </w:rPr>
        <w:t>.</w:t>
      </w:r>
      <w:proofErr w:type="spellStart"/>
      <w:r w:rsidRPr="00073314">
        <w:rPr>
          <w:rFonts w:ascii="Times New Roman" w:hAnsi="Times New Roman" w:cs="Times New Roman"/>
          <w:lang w:val="en-US"/>
        </w:rPr>
        <w:t>unepfi</w:t>
      </w:r>
      <w:proofErr w:type="spellEnd"/>
      <w:r w:rsidRPr="00073314">
        <w:rPr>
          <w:rFonts w:ascii="Times New Roman" w:hAnsi="Times New Roman" w:cs="Times New Roman"/>
        </w:rPr>
        <w:t>.</w:t>
      </w:r>
      <w:r w:rsidRPr="00073314">
        <w:rPr>
          <w:rFonts w:ascii="Times New Roman" w:hAnsi="Times New Roman" w:cs="Times New Roman"/>
          <w:lang w:val="en-US"/>
        </w:rPr>
        <w:t>org</w:t>
      </w:r>
      <w:r w:rsidRPr="00073314">
        <w:rPr>
          <w:rFonts w:ascii="Times New Roman" w:hAnsi="Times New Roman" w:cs="Times New Roman"/>
        </w:rPr>
        <w:t>/</w:t>
      </w:r>
      <w:r w:rsidRPr="00073314">
        <w:rPr>
          <w:rFonts w:ascii="Times New Roman" w:hAnsi="Times New Roman" w:cs="Times New Roman"/>
          <w:lang w:val="en-US"/>
        </w:rPr>
        <w:t>psi</w:t>
      </w:r>
      <w:r w:rsidRPr="00073314">
        <w:rPr>
          <w:rFonts w:ascii="Times New Roman" w:hAnsi="Times New Roman" w:cs="Times New Roman"/>
        </w:rPr>
        <w:t>/</w:t>
      </w:r>
      <w:proofErr w:type="spellStart"/>
      <w:r w:rsidRPr="00073314">
        <w:rPr>
          <w:rFonts w:ascii="Times New Roman" w:hAnsi="Times New Roman" w:cs="Times New Roman"/>
          <w:lang w:val="en-US"/>
        </w:rPr>
        <w:t>wp</w:t>
      </w:r>
      <w:proofErr w:type="spellEnd"/>
      <w:r w:rsidRPr="00073314">
        <w:rPr>
          <w:rFonts w:ascii="Times New Roman" w:hAnsi="Times New Roman" w:cs="Times New Roman"/>
        </w:rPr>
        <w:t>-</w:t>
      </w:r>
      <w:r w:rsidRPr="00073314">
        <w:rPr>
          <w:rFonts w:ascii="Times New Roman" w:hAnsi="Times New Roman" w:cs="Times New Roman"/>
          <w:lang w:val="en-US"/>
        </w:rPr>
        <w:t>content</w:t>
      </w:r>
      <w:r w:rsidRPr="00073314">
        <w:rPr>
          <w:rFonts w:ascii="Times New Roman" w:hAnsi="Times New Roman" w:cs="Times New Roman"/>
        </w:rPr>
        <w:t>/</w:t>
      </w:r>
      <w:r w:rsidRPr="00073314">
        <w:rPr>
          <w:rFonts w:ascii="Times New Roman" w:hAnsi="Times New Roman" w:cs="Times New Roman"/>
          <w:lang w:val="en-US"/>
        </w:rPr>
        <w:t>uploads</w:t>
      </w:r>
      <w:r w:rsidRPr="00073314">
        <w:rPr>
          <w:rFonts w:ascii="Times New Roman" w:hAnsi="Times New Roman" w:cs="Times New Roman"/>
        </w:rPr>
        <w:t>/2020/06/</w:t>
      </w:r>
      <w:r w:rsidRPr="00073314">
        <w:rPr>
          <w:rFonts w:ascii="Times New Roman" w:hAnsi="Times New Roman" w:cs="Times New Roman"/>
          <w:lang w:val="en-US"/>
        </w:rPr>
        <w:t>PSI</w:t>
      </w:r>
      <w:r w:rsidRPr="00073314">
        <w:rPr>
          <w:rFonts w:ascii="Times New Roman" w:hAnsi="Times New Roman" w:cs="Times New Roman"/>
        </w:rPr>
        <w:t>-</w:t>
      </w:r>
      <w:r w:rsidRPr="00073314">
        <w:rPr>
          <w:rFonts w:ascii="Times New Roman" w:hAnsi="Times New Roman" w:cs="Times New Roman"/>
          <w:lang w:val="en-US"/>
        </w:rPr>
        <w:t>ESG</w:t>
      </w:r>
      <w:r w:rsidRPr="00073314">
        <w:rPr>
          <w:rFonts w:ascii="Times New Roman" w:hAnsi="Times New Roman" w:cs="Times New Roman"/>
        </w:rPr>
        <w:t>-</w:t>
      </w:r>
      <w:r w:rsidRPr="00073314">
        <w:rPr>
          <w:rFonts w:ascii="Times New Roman" w:hAnsi="Times New Roman" w:cs="Times New Roman"/>
          <w:lang w:val="en-US"/>
        </w:rPr>
        <w:t>guide</w:t>
      </w:r>
      <w:r w:rsidRPr="00073314">
        <w:rPr>
          <w:rFonts w:ascii="Times New Roman" w:hAnsi="Times New Roman" w:cs="Times New Roman"/>
        </w:rPr>
        <w:t>-</w:t>
      </w:r>
      <w:r w:rsidRPr="00073314">
        <w:rPr>
          <w:rFonts w:ascii="Times New Roman" w:hAnsi="Times New Roman" w:cs="Times New Roman"/>
          <w:lang w:val="en-US"/>
        </w:rPr>
        <w:t>for</w:t>
      </w:r>
      <w:r w:rsidRPr="00073314">
        <w:rPr>
          <w:rFonts w:ascii="Times New Roman" w:hAnsi="Times New Roman" w:cs="Times New Roman"/>
        </w:rPr>
        <w:t>-</w:t>
      </w:r>
      <w:r w:rsidRPr="00073314">
        <w:rPr>
          <w:rFonts w:ascii="Times New Roman" w:hAnsi="Times New Roman" w:cs="Times New Roman"/>
          <w:lang w:val="en-US"/>
        </w:rPr>
        <w:t>non</w:t>
      </w:r>
      <w:r w:rsidRPr="00073314">
        <w:rPr>
          <w:rFonts w:ascii="Times New Roman" w:hAnsi="Times New Roman" w:cs="Times New Roman"/>
        </w:rPr>
        <w:t>-</w:t>
      </w:r>
      <w:r w:rsidRPr="00073314">
        <w:rPr>
          <w:rFonts w:ascii="Times New Roman" w:hAnsi="Times New Roman" w:cs="Times New Roman"/>
          <w:lang w:val="en-US"/>
        </w:rPr>
        <w:t>life</w:t>
      </w:r>
      <w:r w:rsidRPr="00073314">
        <w:rPr>
          <w:rFonts w:ascii="Times New Roman" w:hAnsi="Times New Roman" w:cs="Times New Roman"/>
        </w:rPr>
        <w:t>-</w:t>
      </w:r>
      <w:r w:rsidRPr="00073314">
        <w:rPr>
          <w:rFonts w:ascii="Times New Roman" w:hAnsi="Times New Roman" w:cs="Times New Roman"/>
          <w:lang w:val="en-US"/>
        </w:rPr>
        <w:t>insurance</w:t>
      </w:r>
      <w:r w:rsidRPr="00073314">
        <w:rPr>
          <w:rFonts w:ascii="Times New Roman" w:hAnsi="Times New Roman" w:cs="Times New Roman"/>
        </w:rPr>
        <w:t>.</w:t>
      </w:r>
      <w:r w:rsidRPr="00073314">
        <w:rPr>
          <w:rFonts w:ascii="Times New Roman" w:hAnsi="Times New Roman" w:cs="Times New Roman"/>
          <w:lang w:val="en-US"/>
        </w:rPr>
        <w:t>pdf</w:t>
      </w:r>
      <w:r w:rsidRPr="0007331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дата обращения 1</w:t>
      </w:r>
      <w:r w:rsidR="007074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.02.2023).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7371"/>
    <w:multiLevelType w:val="multilevel"/>
    <w:tmpl w:val="E8B4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92744"/>
    <w:multiLevelType w:val="multilevel"/>
    <w:tmpl w:val="AD6237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709CD"/>
    <w:multiLevelType w:val="hybridMultilevel"/>
    <w:tmpl w:val="9E6875F2"/>
    <w:lvl w:ilvl="0" w:tplc="DBCE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9631A6"/>
    <w:multiLevelType w:val="multilevel"/>
    <w:tmpl w:val="C480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44A7C"/>
    <w:multiLevelType w:val="hybridMultilevel"/>
    <w:tmpl w:val="AB94E40C"/>
    <w:lvl w:ilvl="0" w:tplc="D592F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2E1BD4"/>
    <w:multiLevelType w:val="hybridMultilevel"/>
    <w:tmpl w:val="87FEC566"/>
    <w:lvl w:ilvl="0" w:tplc="EA2C5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C84621"/>
    <w:multiLevelType w:val="multilevel"/>
    <w:tmpl w:val="689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71BA1"/>
    <w:multiLevelType w:val="multilevel"/>
    <w:tmpl w:val="2DB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50938"/>
    <w:multiLevelType w:val="hybridMultilevel"/>
    <w:tmpl w:val="F596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85252"/>
    <w:multiLevelType w:val="hybridMultilevel"/>
    <w:tmpl w:val="4836B0DE"/>
    <w:lvl w:ilvl="0" w:tplc="679A01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4E4A"/>
    <w:multiLevelType w:val="hybridMultilevel"/>
    <w:tmpl w:val="59B29860"/>
    <w:lvl w:ilvl="0" w:tplc="F41A0F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18330FC"/>
    <w:multiLevelType w:val="multilevel"/>
    <w:tmpl w:val="02D4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61705"/>
    <w:multiLevelType w:val="hybridMultilevel"/>
    <w:tmpl w:val="19148168"/>
    <w:lvl w:ilvl="0" w:tplc="D4F67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D4655C"/>
    <w:multiLevelType w:val="hybridMultilevel"/>
    <w:tmpl w:val="33D249BE"/>
    <w:lvl w:ilvl="0" w:tplc="F41A0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3D1DF7"/>
    <w:multiLevelType w:val="multilevel"/>
    <w:tmpl w:val="F07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080689"/>
    <w:multiLevelType w:val="multilevel"/>
    <w:tmpl w:val="D5C0D2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0F879D6"/>
    <w:multiLevelType w:val="hybridMultilevel"/>
    <w:tmpl w:val="5C72EBF2"/>
    <w:lvl w:ilvl="0" w:tplc="22127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1061C7"/>
    <w:multiLevelType w:val="hybridMultilevel"/>
    <w:tmpl w:val="C21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4C46"/>
    <w:multiLevelType w:val="hybridMultilevel"/>
    <w:tmpl w:val="74381F58"/>
    <w:lvl w:ilvl="0" w:tplc="0E960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56474"/>
    <w:multiLevelType w:val="multilevel"/>
    <w:tmpl w:val="0C74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383B51"/>
    <w:multiLevelType w:val="hybridMultilevel"/>
    <w:tmpl w:val="8AF0C198"/>
    <w:lvl w:ilvl="0" w:tplc="F41A0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19759D"/>
    <w:multiLevelType w:val="multilevel"/>
    <w:tmpl w:val="AD6237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92DD8"/>
    <w:multiLevelType w:val="hybridMultilevel"/>
    <w:tmpl w:val="01C4F89C"/>
    <w:lvl w:ilvl="0" w:tplc="F41A0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74835"/>
    <w:multiLevelType w:val="multilevel"/>
    <w:tmpl w:val="D2FA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8"/>
  </w:num>
  <w:num w:numId="5">
    <w:abstractNumId w:val="4"/>
  </w:num>
  <w:num w:numId="6">
    <w:abstractNumId w:val="2"/>
  </w:num>
  <w:num w:numId="7">
    <w:abstractNumId w:val="22"/>
  </w:num>
  <w:num w:numId="8">
    <w:abstractNumId w:val="12"/>
  </w:num>
  <w:num w:numId="9">
    <w:abstractNumId w:val="10"/>
  </w:num>
  <w:num w:numId="10">
    <w:abstractNumId w:val="5"/>
  </w:num>
  <w:num w:numId="11">
    <w:abstractNumId w:val="20"/>
  </w:num>
  <w:num w:numId="12">
    <w:abstractNumId w:val="15"/>
  </w:num>
  <w:num w:numId="13">
    <w:abstractNumId w:val="7"/>
  </w:num>
  <w:num w:numId="14">
    <w:abstractNumId w:val="3"/>
  </w:num>
  <w:num w:numId="15">
    <w:abstractNumId w:val="19"/>
  </w:num>
  <w:num w:numId="16">
    <w:abstractNumId w:val="0"/>
  </w:num>
  <w:num w:numId="17">
    <w:abstractNumId w:val="11"/>
  </w:num>
  <w:num w:numId="18">
    <w:abstractNumId w:val="6"/>
  </w:num>
  <w:num w:numId="19">
    <w:abstractNumId w:val="23"/>
  </w:num>
  <w:num w:numId="20">
    <w:abstractNumId w:val="14"/>
  </w:num>
  <w:num w:numId="21">
    <w:abstractNumId w:val="21"/>
  </w:num>
  <w:num w:numId="22">
    <w:abstractNumId w:val="1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AA"/>
    <w:rsid w:val="000A5AAA"/>
    <w:rsid w:val="00385F3B"/>
    <w:rsid w:val="003F1836"/>
    <w:rsid w:val="00425EF6"/>
    <w:rsid w:val="00533108"/>
    <w:rsid w:val="005905ED"/>
    <w:rsid w:val="00643701"/>
    <w:rsid w:val="007074B9"/>
    <w:rsid w:val="00A51202"/>
    <w:rsid w:val="00C5643B"/>
    <w:rsid w:val="00D951AC"/>
    <w:rsid w:val="00DD39FD"/>
    <w:rsid w:val="00F02C3D"/>
    <w:rsid w:val="00F27C05"/>
    <w:rsid w:val="00F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438F-69D9-478D-A4E8-DCC4B0D0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B1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6B1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66B1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66B14"/>
    <w:rPr>
      <w:vertAlign w:val="superscript"/>
    </w:rPr>
  </w:style>
  <w:style w:type="character" w:styleId="a7">
    <w:name w:val="Hyperlink"/>
    <w:basedOn w:val="a0"/>
    <w:uiPriority w:val="99"/>
    <w:unhideWhenUsed/>
    <w:rsid w:val="00F66B1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6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B14"/>
  </w:style>
  <w:style w:type="paragraph" w:styleId="aa">
    <w:name w:val="footer"/>
    <w:basedOn w:val="a"/>
    <w:link w:val="ab"/>
    <w:uiPriority w:val="99"/>
    <w:unhideWhenUsed/>
    <w:rsid w:val="00F6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B14"/>
  </w:style>
  <w:style w:type="table" w:styleId="ac">
    <w:name w:val="Table Grid"/>
    <w:basedOn w:val="a1"/>
    <w:uiPriority w:val="39"/>
    <w:rsid w:val="00F6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F66B1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66B14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66B1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66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 Людмила Сергеевна</dc:creator>
  <cp:keywords/>
  <dc:description/>
  <cp:lastModifiedBy>Кабир Людмила Сергеевна</cp:lastModifiedBy>
  <cp:revision>2</cp:revision>
  <dcterms:created xsi:type="dcterms:W3CDTF">2023-03-14T14:00:00Z</dcterms:created>
  <dcterms:modified xsi:type="dcterms:W3CDTF">2023-03-14T16:57:00Z</dcterms:modified>
</cp:coreProperties>
</file>