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8132" w14:textId="77777777" w:rsidR="001C6342" w:rsidRPr="004C7EA0" w:rsidRDefault="001C6342" w:rsidP="00F90684">
      <w:pPr>
        <w:spacing w:after="0" w:line="24" w:lineRule="atLeast"/>
        <w:ind w:firstLine="709"/>
        <w:contextualSpacing/>
        <w:jc w:val="both"/>
        <w:outlineLvl w:val="0"/>
        <w:rPr>
          <w:rFonts w:ascii="Times New Roman" w:hAnsi="Times New Roman" w:cs="Times New Roman"/>
          <w:color w:val="000000" w:themeColor="text1"/>
          <w:sz w:val="28"/>
          <w:szCs w:val="28"/>
          <w:shd w:val="clear" w:color="auto" w:fill="FFFFFF"/>
        </w:rPr>
      </w:pPr>
      <w:r w:rsidRPr="004C7EA0">
        <w:rPr>
          <w:rFonts w:ascii="Times New Roman" w:hAnsi="Times New Roman" w:cs="Times New Roman"/>
          <w:color w:val="000000" w:themeColor="text1"/>
          <w:sz w:val="28"/>
          <w:szCs w:val="28"/>
          <w:shd w:val="clear" w:color="auto" w:fill="FFFFFF"/>
        </w:rPr>
        <w:t>УДК: 341.1/8</w:t>
      </w:r>
    </w:p>
    <w:p w14:paraId="7A0338D2" w14:textId="77777777" w:rsidR="001C6342" w:rsidRPr="004C7EA0" w:rsidRDefault="001C6342"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p>
    <w:p w14:paraId="68A7D270" w14:textId="77777777" w:rsidR="00D40E03" w:rsidRPr="004C7EA0" w:rsidRDefault="00D40E03" w:rsidP="00F90684">
      <w:pPr>
        <w:spacing w:after="0" w:line="24" w:lineRule="atLeast"/>
        <w:ind w:firstLine="709"/>
        <w:contextualSpacing/>
        <w:jc w:val="both"/>
        <w:outlineLvl w:val="0"/>
        <w:rPr>
          <w:rFonts w:ascii="Times New Roman" w:hAnsi="Times New Roman" w:cs="Times New Roman"/>
          <w:b/>
          <w:color w:val="000000" w:themeColor="text1"/>
          <w:sz w:val="28"/>
          <w:szCs w:val="28"/>
          <w:shd w:val="clear" w:color="auto" w:fill="FFFFFF"/>
        </w:rPr>
      </w:pPr>
      <w:r w:rsidRPr="004C7EA0">
        <w:rPr>
          <w:rFonts w:ascii="Times New Roman" w:hAnsi="Times New Roman" w:cs="Times New Roman"/>
          <w:b/>
          <w:color w:val="000000" w:themeColor="text1"/>
          <w:sz w:val="28"/>
          <w:szCs w:val="28"/>
          <w:shd w:val="clear" w:color="auto" w:fill="FFFFFF"/>
        </w:rPr>
        <w:t>Левашенко А.Д.</w:t>
      </w:r>
    </w:p>
    <w:p w14:paraId="09410029" w14:textId="77777777" w:rsidR="00D40E03" w:rsidRPr="004C7EA0" w:rsidRDefault="00D40E03"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r w:rsidRPr="004C7EA0">
        <w:rPr>
          <w:rFonts w:ascii="Times New Roman" w:hAnsi="Times New Roman" w:cs="Times New Roman"/>
          <w:color w:val="000000" w:themeColor="text1"/>
          <w:sz w:val="28"/>
          <w:szCs w:val="28"/>
          <w:shd w:val="clear" w:color="auto" w:fill="FFFFFF"/>
        </w:rPr>
        <w:t>Российская академия народного хозяйства и государственной службы при Президенте РФ</w:t>
      </w:r>
    </w:p>
    <w:p w14:paraId="1DAFE6D5" w14:textId="77777777" w:rsidR="00D0163B" w:rsidRPr="004C7EA0" w:rsidRDefault="00D0163B"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r w:rsidRPr="004C7EA0">
        <w:rPr>
          <w:rFonts w:ascii="Times New Roman" w:hAnsi="Times New Roman" w:cs="Times New Roman"/>
          <w:color w:val="000000" w:themeColor="text1"/>
          <w:sz w:val="28"/>
          <w:szCs w:val="28"/>
          <w:shd w:val="clear" w:color="auto" w:fill="FFFFFF"/>
        </w:rPr>
        <w:t>Российская Федерация, Москва, пр. Вернадского, д. 82, 119571</w:t>
      </w:r>
    </w:p>
    <w:p w14:paraId="00374D3A" w14:textId="77777777" w:rsidR="00D40E03" w:rsidRPr="004C7EA0" w:rsidRDefault="00D40E03"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p>
    <w:p w14:paraId="649A675C" w14:textId="77777777" w:rsidR="001C6342" w:rsidRPr="004C7EA0" w:rsidRDefault="001C6342" w:rsidP="00F90684">
      <w:pPr>
        <w:spacing w:after="0" w:line="24" w:lineRule="atLeast"/>
        <w:ind w:firstLine="709"/>
        <w:contextualSpacing/>
        <w:jc w:val="both"/>
        <w:outlineLvl w:val="0"/>
        <w:rPr>
          <w:rFonts w:ascii="Times New Roman" w:hAnsi="Times New Roman" w:cs="Times New Roman"/>
          <w:b/>
          <w:color w:val="000000" w:themeColor="text1"/>
          <w:sz w:val="28"/>
          <w:szCs w:val="28"/>
          <w:shd w:val="clear" w:color="auto" w:fill="FFFFFF"/>
        </w:rPr>
      </w:pPr>
      <w:r w:rsidRPr="004C7EA0">
        <w:rPr>
          <w:rFonts w:ascii="Times New Roman" w:hAnsi="Times New Roman" w:cs="Times New Roman"/>
          <w:b/>
          <w:color w:val="000000" w:themeColor="text1"/>
          <w:sz w:val="28"/>
          <w:szCs w:val="28"/>
          <w:shd w:val="clear" w:color="auto" w:fill="FFFFFF"/>
        </w:rPr>
        <w:t>Ермохин И.С.</w:t>
      </w:r>
    </w:p>
    <w:p w14:paraId="127C2498" w14:textId="77777777" w:rsidR="00D0163B" w:rsidRPr="004C7EA0" w:rsidRDefault="00D0163B"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r w:rsidRPr="004C7EA0">
        <w:rPr>
          <w:rFonts w:ascii="Times New Roman" w:hAnsi="Times New Roman" w:cs="Times New Roman"/>
          <w:color w:val="000000" w:themeColor="text1"/>
          <w:sz w:val="28"/>
          <w:szCs w:val="28"/>
          <w:shd w:val="clear" w:color="auto" w:fill="FFFFFF"/>
        </w:rPr>
        <w:t>Российская академия народного хозяйства и государственной службы при Президенте РФ</w:t>
      </w:r>
    </w:p>
    <w:p w14:paraId="3F9499DC" w14:textId="77777777" w:rsidR="00D0163B" w:rsidRPr="004C7EA0" w:rsidRDefault="00D0163B"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r w:rsidRPr="004C7EA0">
        <w:rPr>
          <w:rFonts w:ascii="Times New Roman" w:hAnsi="Times New Roman" w:cs="Times New Roman"/>
          <w:color w:val="000000" w:themeColor="text1"/>
          <w:sz w:val="28"/>
          <w:szCs w:val="28"/>
          <w:shd w:val="clear" w:color="auto" w:fill="FFFFFF"/>
        </w:rPr>
        <w:t>Российская Федерация, Москва, пр. Вернадского, д. 82, 119571</w:t>
      </w:r>
    </w:p>
    <w:p w14:paraId="42DF6111" w14:textId="77777777" w:rsidR="00D40E03" w:rsidRPr="004C7EA0" w:rsidRDefault="00D40E03"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p>
    <w:p w14:paraId="0E9BA258" w14:textId="77777777" w:rsidR="001C6342" w:rsidRPr="004C7EA0" w:rsidRDefault="001C6342" w:rsidP="00F90684">
      <w:pPr>
        <w:spacing w:after="0" w:line="24" w:lineRule="atLeast"/>
        <w:ind w:firstLine="709"/>
        <w:contextualSpacing/>
        <w:jc w:val="both"/>
        <w:outlineLvl w:val="0"/>
        <w:rPr>
          <w:rFonts w:ascii="Times New Roman" w:hAnsi="Times New Roman" w:cs="Times New Roman"/>
          <w:b/>
          <w:color w:val="000000" w:themeColor="text1"/>
          <w:sz w:val="28"/>
          <w:szCs w:val="28"/>
          <w:shd w:val="clear" w:color="auto" w:fill="FFFFFF"/>
        </w:rPr>
      </w:pPr>
      <w:proofErr w:type="spellStart"/>
      <w:r w:rsidRPr="004C7EA0">
        <w:rPr>
          <w:rFonts w:ascii="Times New Roman" w:hAnsi="Times New Roman" w:cs="Times New Roman"/>
          <w:b/>
          <w:color w:val="000000" w:themeColor="text1"/>
          <w:sz w:val="28"/>
          <w:szCs w:val="28"/>
          <w:shd w:val="clear" w:color="auto" w:fill="FFFFFF"/>
        </w:rPr>
        <w:t>Бурханова</w:t>
      </w:r>
      <w:proofErr w:type="spellEnd"/>
      <w:r w:rsidRPr="004C7EA0">
        <w:rPr>
          <w:rFonts w:ascii="Times New Roman" w:hAnsi="Times New Roman" w:cs="Times New Roman"/>
          <w:b/>
          <w:color w:val="000000" w:themeColor="text1"/>
          <w:sz w:val="28"/>
          <w:szCs w:val="28"/>
          <w:shd w:val="clear" w:color="auto" w:fill="FFFFFF"/>
        </w:rPr>
        <w:t xml:space="preserve"> Ю.М.</w:t>
      </w:r>
    </w:p>
    <w:p w14:paraId="03AFC34B" w14:textId="77777777" w:rsidR="00D0163B" w:rsidRPr="004C7EA0" w:rsidRDefault="00D0163B"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r w:rsidRPr="004C7EA0">
        <w:rPr>
          <w:rFonts w:ascii="Times New Roman" w:hAnsi="Times New Roman" w:cs="Times New Roman"/>
          <w:color w:val="000000" w:themeColor="text1"/>
          <w:sz w:val="28"/>
          <w:szCs w:val="28"/>
          <w:shd w:val="clear" w:color="auto" w:fill="FFFFFF"/>
        </w:rPr>
        <w:t>Российская академия народного хозяйства и государственной службы при Президенте РФ</w:t>
      </w:r>
    </w:p>
    <w:p w14:paraId="08E3C601" w14:textId="77777777" w:rsidR="00D0163B" w:rsidRPr="004C7EA0" w:rsidRDefault="00D0163B"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r w:rsidRPr="004C7EA0">
        <w:rPr>
          <w:rFonts w:ascii="Times New Roman" w:hAnsi="Times New Roman" w:cs="Times New Roman"/>
          <w:color w:val="000000" w:themeColor="text1"/>
          <w:sz w:val="28"/>
          <w:szCs w:val="28"/>
          <w:shd w:val="clear" w:color="auto" w:fill="FFFFFF"/>
        </w:rPr>
        <w:t>Российская Федерация, Москва, пр. Вернадского, д. 82, 119571</w:t>
      </w:r>
    </w:p>
    <w:p w14:paraId="252FB8DB" w14:textId="77777777" w:rsidR="00D40E03" w:rsidRPr="004C7EA0" w:rsidRDefault="00D40E03"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p>
    <w:p w14:paraId="32D36EA5" w14:textId="77777777" w:rsidR="00D40E03" w:rsidRPr="00993AA3" w:rsidRDefault="00D40E03" w:rsidP="00F90684">
      <w:pPr>
        <w:spacing w:after="0" w:line="24" w:lineRule="atLeast"/>
        <w:ind w:firstLine="709"/>
        <w:contextualSpacing/>
        <w:jc w:val="both"/>
        <w:outlineLvl w:val="0"/>
        <w:rPr>
          <w:rFonts w:ascii="Times New Roman" w:hAnsi="Times New Roman" w:cs="Times New Roman"/>
          <w:b/>
          <w:color w:val="000000" w:themeColor="text1"/>
          <w:sz w:val="28"/>
          <w:szCs w:val="28"/>
          <w:shd w:val="clear" w:color="auto" w:fill="FFFFFF"/>
          <w:lang w:val="en-US"/>
        </w:rPr>
      </w:pPr>
      <w:r w:rsidRPr="004C7EA0">
        <w:rPr>
          <w:rFonts w:ascii="Times New Roman" w:hAnsi="Times New Roman" w:cs="Times New Roman"/>
          <w:b/>
          <w:color w:val="000000" w:themeColor="text1"/>
          <w:sz w:val="28"/>
          <w:szCs w:val="28"/>
          <w:shd w:val="clear" w:color="auto" w:fill="FFFFFF"/>
          <w:lang w:val="en-US"/>
        </w:rPr>
        <w:t>Levashenko A.D.</w:t>
      </w:r>
    </w:p>
    <w:p w14:paraId="7448758C" w14:textId="77777777" w:rsidR="00D40E03" w:rsidRPr="004C7EA0" w:rsidRDefault="00D40E03"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lang w:val="en-US"/>
        </w:rPr>
      </w:pPr>
      <w:r w:rsidRPr="004C7EA0">
        <w:rPr>
          <w:rFonts w:ascii="Times New Roman" w:hAnsi="Times New Roman" w:cs="Times New Roman"/>
          <w:color w:val="000000" w:themeColor="text1"/>
          <w:sz w:val="28"/>
          <w:szCs w:val="28"/>
          <w:shd w:val="clear" w:color="auto" w:fill="FFFFFF"/>
          <w:lang w:val="en-US"/>
        </w:rPr>
        <w:t>Russian President</w:t>
      </w:r>
      <w:r w:rsidR="00D0163B" w:rsidRPr="004C7EA0">
        <w:rPr>
          <w:rFonts w:ascii="Times New Roman" w:hAnsi="Times New Roman" w:cs="Times New Roman"/>
          <w:color w:val="000000" w:themeColor="text1"/>
          <w:sz w:val="28"/>
          <w:szCs w:val="28"/>
          <w:shd w:val="clear" w:color="auto" w:fill="FFFFFF"/>
          <w:lang w:val="en-US"/>
        </w:rPr>
        <w:t>i</w:t>
      </w:r>
      <w:r w:rsidRPr="004C7EA0">
        <w:rPr>
          <w:rFonts w:ascii="Times New Roman" w:hAnsi="Times New Roman" w:cs="Times New Roman"/>
          <w:color w:val="000000" w:themeColor="text1"/>
          <w:sz w:val="28"/>
          <w:szCs w:val="28"/>
          <w:shd w:val="clear" w:color="auto" w:fill="FFFFFF"/>
          <w:lang w:val="en-US"/>
        </w:rPr>
        <w:t>al Academy of National Economy and Public Administration</w:t>
      </w:r>
    </w:p>
    <w:p w14:paraId="1AD27240" w14:textId="77777777" w:rsidR="00D0163B" w:rsidRPr="004C7EA0" w:rsidRDefault="00D0163B"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lang w:val="en-US"/>
        </w:rPr>
      </w:pPr>
      <w:r w:rsidRPr="004C7EA0">
        <w:rPr>
          <w:rFonts w:ascii="Times New Roman" w:hAnsi="Times New Roman" w:cs="Times New Roman"/>
          <w:color w:val="000000" w:themeColor="text1"/>
          <w:sz w:val="28"/>
          <w:szCs w:val="28"/>
          <w:shd w:val="clear" w:color="auto" w:fill="FFFFFF"/>
          <w:lang w:val="en-US"/>
        </w:rPr>
        <w:t xml:space="preserve">Russian Federation, Moscow, 82 </w:t>
      </w:r>
      <w:proofErr w:type="spellStart"/>
      <w:r w:rsidRPr="004C7EA0">
        <w:rPr>
          <w:rFonts w:ascii="Times New Roman" w:hAnsi="Times New Roman" w:cs="Times New Roman"/>
          <w:color w:val="000000" w:themeColor="text1"/>
          <w:sz w:val="28"/>
          <w:szCs w:val="28"/>
          <w:shd w:val="clear" w:color="auto" w:fill="FFFFFF"/>
          <w:lang w:val="en-US"/>
        </w:rPr>
        <w:t>Vernadsky</w:t>
      </w:r>
      <w:proofErr w:type="spellEnd"/>
      <w:r w:rsidRPr="004C7EA0">
        <w:rPr>
          <w:rFonts w:ascii="Times New Roman" w:hAnsi="Times New Roman" w:cs="Times New Roman"/>
          <w:color w:val="000000" w:themeColor="text1"/>
          <w:sz w:val="28"/>
          <w:szCs w:val="28"/>
          <w:shd w:val="clear" w:color="auto" w:fill="FFFFFF"/>
          <w:lang w:val="en-US"/>
        </w:rPr>
        <w:t xml:space="preserve"> Ave., 119571</w:t>
      </w:r>
    </w:p>
    <w:p w14:paraId="1675B46E" w14:textId="77777777" w:rsidR="00D40E03" w:rsidRPr="004C7EA0" w:rsidRDefault="00D40E03"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lang w:val="en-US"/>
        </w:rPr>
      </w:pPr>
    </w:p>
    <w:p w14:paraId="3C9795C3" w14:textId="77777777" w:rsidR="00D40E03" w:rsidRPr="004C7EA0" w:rsidRDefault="00D40E03" w:rsidP="00F90684">
      <w:pPr>
        <w:spacing w:after="0" w:line="24" w:lineRule="atLeast"/>
        <w:ind w:firstLine="709"/>
        <w:contextualSpacing/>
        <w:jc w:val="both"/>
        <w:outlineLvl w:val="0"/>
        <w:rPr>
          <w:rFonts w:ascii="Times New Roman" w:hAnsi="Times New Roman" w:cs="Times New Roman"/>
          <w:b/>
          <w:color w:val="000000" w:themeColor="text1"/>
          <w:sz w:val="28"/>
          <w:szCs w:val="28"/>
          <w:shd w:val="clear" w:color="auto" w:fill="FFFFFF"/>
          <w:lang w:val="en-US"/>
        </w:rPr>
      </w:pPr>
      <w:proofErr w:type="spellStart"/>
      <w:r w:rsidRPr="004C7EA0">
        <w:rPr>
          <w:rFonts w:ascii="Times New Roman" w:hAnsi="Times New Roman" w:cs="Times New Roman"/>
          <w:b/>
          <w:color w:val="000000" w:themeColor="text1"/>
          <w:sz w:val="28"/>
          <w:szCs w:val="28"/>
          <w:shd w:val="clear" w:color="auto" w:fill="FFFFFF"/>
          <w:lang w:val="en-US"/>
        </w:rPr>
        <w:t>Ermokhin</w:t>
      </w:r>
      <w:proofErr w:type="spellEnd"/>
      <w:r w:rsidRPr="004C7EA0">
        <w:rPr>
          <w:rFonts w:ascii="Times New Roman" w:hAnsi="Times New Roman" w:cs="Times New Roman"/>
          <w:b/>
          <w:color w:val="000000" w:themeColor="text1"/>
          <w:sz w:val="28"/>
          <w:szCs w:val="28"/>
          <w:shd w:val="clear" w:color="auto" w:fill="FFFFFF"/>
          <w:lang w:val="en-US"/>
        </w:rPr>
        <w:t xml:space="preserve"> I.S.</w:t>
      </w:r>
    </w:p>
    <w:p w14:paraId="1E591D5A" w14:textId="77777777" w:rsidR="00D0163B" w:rsidRPr="004C7EA0" w:rsidRDefault="00D0163B"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lang w:val="en-US"/>
        </w:rPr>
      </w:pPr>
      <w:r w:rsidRPr="004C7EA0">
        <w:rPr>
          <w:rFonts w:ascii="Times New Roman" w:hAnsi="Times New Roman" w:cs="Times New Roman"/>
          <w:color w:val="000000" w:themeColor="text1"/>
          <w:sz w:val="28"/>
          <w:szCs w:val="28"/>
          <w:shd w:val="clear" w:color="auto" w:fill="FFFFFF"/>
          <w:lang w:val="en-US"/>
        </w:rPr>
        <w:t>Russian Presidential Academy of National Economy and Public Administration</w:t>
      </w:r>
    </w:p>
    <w:p w14:paraId="5BC7D26C" w14:textId="77777777" w:rsidR="00D0163B" w:rsidRPr="004C7EA0" w:rsidRDefault="00D0163B"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lang w:val="en-US"/>
        </w:rPr>
      </w:pPr>
      <w:r w:rsidRPr="004C7EA0">
        <w:rPr>
          <w:rFonts w:ascii="Times New Roman" w:hAnsi="Times New Roman" w:cs="Times New Roman"/>
          <w:color w:val="000000" w:themeColor="text1"/>
          <w:sz w:val="28"/>
          <w:szCs w:val="28"/>
          <w:shd w:val="clear" w:color="auto" w:fill="FFFFFF"/>
          <w:lang w:val="en-US"/>
        </w:rPr>
        <w:t xml:space="preserve">Russian Federation, Moscow, 82 </w:t>
      </w:r>
      <w:proofErr w:type="spellStart"/>
      <w:r w:rsidRPr="004C7EA0">
        <w:rPr>
          <w:rFonts w:ascii="Times New Roman" w:hAnsi="Times New Roman" w:cs="Times New Roman"/>
          <w:color w:val="000000" w:themeColor="text1"/>
          <w:sz w:val="28"/>
          <w:szCs w:val="28"/>
          <w:shd w:val="clear" w:color="auto" w:fill="FFFFFF"/>
          <w:lang w:val="en-US"/>
        </w:rPr>
        <w:t>Vernadsky</w:t>
      </w:r>
      <w:proofErr w:type="spellEnd"/>
      <w:r w:rsidRPr="004C7EA0">
        <w:rPr>
          <w:rFonts w:ascii="Times New Roman" w:hAnsi="Times New Roman" w:cs="Times New Roman"/>
          <w:color w:val="000000" w:themeColor="text1"/>
          <w:sz w:val="28"/>
          <w:szCs w:val="28"/>
          <w:shd w:val="clear" w:color="auto" w:fill="FFFFFF"/>
          <w:lang w:val="en-US"/>
        </w:rPr>
        <w:t xml:space="preserve"> Ave., 119571</w:t>
      </w:r>
    </w:p>
    <w:p w14:paraId="1BE05313" w14:textId="77777777" w:rsidR="00D40E03" w:rsidRPr="004C7EA0" w:rsidRDefault="00D40E03" w:rsidP="00F90684">
      <w:pPr>
        <w:spacing w:after="0" w:line="24" w:lineRule="atLeast"/>
        <w:ind w:firstLine="709"/>
        <w:contextualSpacing/>
        <w:jc w:val="both"/>
        <w:rPr>
          <w:rFonts w:ascii="Times New Roman" w:hAnsi="Times New Roman" w:cs="Times New Roman"/>
          <w:b/>
          <w:color w:val="000000" w:themeColor="text1"/>
          <w:sz w:val="28"/>
          <w:szCs w:val="28"/>
          <w:shd w:val="clear" w:color="auto" w:fill="FFFFFF"/>
          <w:lang w:val="en-US"/>
        </w:rPr>
      </w:pPr>
    </w:p>
    <w:p w14:paraId="07DFD194" w14:textId="77777777" w:rsidR="00D40E03" w:rsidRPr="004C7EA0" w:rsidRDefault="00D40E03" w:rsidP="00F90684">
      <w:pPr>
        <w:spacing w:after="0" w:line="24" w:lineRule="atLeast"/>
        <w:ind w:firstLine="709"/>
        <w:contextualSpacing/>
        <w:jc w:val="both"/>
        <w:outlineLvl w:val="0"/>
        <w:rPr>
          <w:rFonts w:ascii="Times New Roman" w:hAnsi="Times New Roman" w:cs="Times New Roman"/>
          <w:b/>
          <w:color w:val="000000" w:themeColor="text1"/>
          <w:sz w:val="28"/>
          <w:szCs w:val="28"/>
          <w:shd w:val="clear" w:color="auto" w:fill="FFFFFF"/>
          <w:lang w:val="en-US"/>
        </w:rPr>
      </w:pPr>
      <w:proofErr w:type="spellStart"/>
      <w:r w:rsidRPr="004C7EA0">
        <w:rPr>
          <w:rFonts w:ascii="Times New Roman" w:hAnsi="Times New Roman" w:cs="Times New Roman"/>
          <w:b/>
          <w:color w:val="000000" w:themeColor="text1"/>
          <w:sz w:val="28"/>
          <w:szCs w:val="28"/>
          <w:shd w:val="clear" w:color="auto" w:fill="FFFFFF"/>
          <w:lang w:val="en-US"/>
        </w:rPr>
        <w:t>Burhanova</w:t>
      </w:r>
      <w:proofErr w:type="spellEnd"/>
      <w:r w:rsidRPr="004C7EA0">
        <w:rPr>
          <w:rFonts w:ascii="Times New Roman" w:hAnsi="Times New Roman" w:cs="Times New Roman"/>
          <w:b/>
          <w:color w:val="000000" w:themeColor="text1"/>
          <w:sz w:val="28"/>
          <w:szCs w:val="28"/>
          <w:shd w:val="clear" w:color="auto" w:fill="FFFFFF"/>
          <w:lang w:val="en-US"/>
        </w:rPr>
        <w:t xml:space="preserve"> Y.M.</w:t>
      </w:r>
    </w:p>
    <w:p w14:paraId="3077CDCB" w14:textId="77777777" w:rsidR="00D0163B" w:rsidRPr="004C7EA0" w:rsidRDefault="00D0163B"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lang w:val="en-US"/>
        </w:rPr>
      </w:pPr>
      <w:r w:rsidRPr="004C7EA0">
        <w:rPr>
          <w:rFonts w:ascii="Times New Roman" w:hAnsi="Times New Roman" w:cs="Times New Roman"/>
          <w:color w:val="000000" w:themeColor="text1"/>
          <w:sz w:val="28"/>
          <w:szCs w:val="28"/>
          <w:shd w:val="clear" w:color="auto" w:fill="FFFFFF"/>
          <w:lang w:val="en-US"/>
        </w:rPr>
        <w:t>Russian Presidential Academy of National Economy and Public Administration</w:t>
      </w:r>
    </w:p>
    <w:p w14:paraId="7F1EB2F8" w14:textId="77777777" w:rsidR="00D0163B" w:rsidRPr="004C7EA0" w:rsidRDefault="00D0163B"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lang w:val="en-US"/>
        </w:rPr>
      </w:pPr>
      <w:r w:rsidRPr="004C7EA0">
        <w:rPr>
          <w:rFonts w:ascii="Times New Roman" w:hAnsi="Times New Roman" w:cs="Times New Roman"/>
          <w:color w:val="000000" w:themeColor="text1"/>
          <w:sz w:val="28"/>
          <w:szCs w:val="28"/>
          <w:shd w:val="clear" w:color="auto" w:fill="FFFFFF"/>
          <w:lang w:val="en-US"/>
        </w:rPr>
        <w:t xml:space="preserve">Russian Federation, Moscow, 82 </w:t>
      </w:r>
      <w:proofErr w:type="spellStart"/>
      <w:r w:rsidRPr="004C7EA0">
        <w:rPr>
          <w:rFonts w:ascii="Times New Roman" w:hAnsi="Times New Roman" w:cs="Times New Roman"/>
          <w:color w:val="000000" w:themeColor="text1"/>
          <w:sz w:val="28"/>
          <w:szCs w:val="28"/>
          <w:shd w:val="clear" w:color="auto" w:fill="FFFFFF"/>
          <w:lang w:val="en-US"/>
        </w:rPr>
        <w:t>Vernadsky</w:t>
      </w:r>
      <w:proofErr w:type="spellEnd"/>
      <w:r w:rsidRPr="004C7EA0">
        <w:rPr>
          <w:rFonts w:ascii="Times New Roman" w:hAnsi="Times New Roman" w:cs="Times New Roman"/>
          <w:color w:val="000000" w:themeColor="text1"/>
          <w:sz w:val="28"/>
          <w:szCs w:val="28"/>
          <w:shd w:val="clear" w:color="auto" w:fill="FFFFFF"/>
          <w:lang w:val="en-US"/>
        </w:rPr>
        <w:t xml:space="preserve"> Ave., 119571</w:t>
      </w:r>
    </w:p>
    <w:p w14:paraId="57C4C635" w14:textId="77777777" w:rsidR="001C6342" w:rsidRPr="004C7EA0" w:rsidRDefault="001C6342"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lang w:val="en-US"/>
        </w:rPr>
      </w:pPr>
    </w:p>
    <w:p w14:paraId="32F4D1AC" w14:textId="77777777" w:rsidR="001C6342" w:rsidRPr="00993AA3" w:rsidRDefault="001C6342" w:rsidP="00F90684">
      <w:pPr>
        <w:spacing w:after="0" w:line="24" w:lineRule="atLeast"/>
        <w:ind w:firstLine="709"/>
        <w:contextualSpacing/>
        <w:jc w:val="both"/>
        <w:outlineLvl w:val="0"/>
        <w:rPr>
          <w:rFonts w:ascii="Times New Roman" w:hAnsi="Times New Roman" w:cs="Times New Roman"/>
          <w:b/>
          <w:color w:val="000000" w:themeColor="text1"/>
          <w:sz w:val="28"/>
          <w:szCs w:val="28"/>
          <w:shd w:val="clear" w:color="auto" w:fill="FFFFFF"/>
        </w:rPr>
      </w:pPr>
      <w:r w:rsidRPr="004C7EA0">
        <w:rPr>
          <w:rFonts w:ascii="Times New Roman" w:hAnsi="Times New Roman" w:cs="Times New Roman"/>
          <w:b/>
          <w:color w:val="000000" w:themeColor="text1"/>
          <w:sz w:val="28"/>
          <w:szCs w:val="28"/>
          <w:shd w:val="clear" w:color="auto" w:fill="FFFFFF"/>
        </w:rPr>
        <w:t>Аннотация</w:t>
      </w:r>
    </w:p>
    <w:p w14:paraId="751C74F8" w14:textId="77777777" w:rsidR="00D66266" w:rsidRPr="004C7EA0" w:rsidRDefault="00D66266" w:rsidP="00F90684">
      <w:pPr>
        <w:spacing w:after="0" w:line="24" w:lineRule="atLeast"/>
        <w:ind w:firstLine="709"/>
        <w:contextualSpacing/>
        <w:jc w:val="both"/>
        <w:outlineLvl w:val="0"/>
        <w:rPr>
          <w:rFonts w:ascii="Times New Roman" w:hAnsi="Times New Roman" w:cs="Times New Roman"/>
          <w:color w:val="000000" w:themeColor="text1"/>
          <w:sz w:val="28"/>
          <w:szCs w:val="28"/>
          <w:shd w:val="clear" w:color="auto" w:fill="FFFFFF"/>
        </w:rPr>
      </w:pPr>
      <w:r w:rsidRPr="004C7EA0">
        <w:rPr>
          <w:rFonts w:ascii="Times New Roman" w:hAnsi="Times New Roman" w:cs="Times New Roman"/>
          <w:color w:val="000000" w:themeColor="text1"/>
          <w:sz w:val="28"/>
          <w:szCs w:val="28"/>
          <w:shd w:val="clear" w:color="auto" w:fill="FFFFFF"/>
        </w:rPr>
        <w:t xml:space="preserve">Индустрия </w:t>
      </w:r>
      <w:r w:rsidRPr="004C7EA0">
        <w:rPr>
          <w:rFonts w:ascii="Times New Roman" w:hAnsi="Times New Roman" w:cs="Times New Roman"/>
          <w:color w:val="000000" w:themeColor="text1"/>
          <w:sz w:val="28"/>
          <w:szCs w:val="28"/>
          <w:shd w:val="clear" w:color="auto" w:fill="FFFFFF"/>
          <w:lang w:val="en-US"/>
        </w:rPr>
        <w:t>ESG</w:t>
      </w:r>
      <w:r w:rsidRPr="004C7EA0">
        <w:rPr>
          <w:rFonts w:ascii="Times New Roman" w:hAnsi="Times New Roman" w:cs="Times New Roman"/>
          <w:color w:val="000000" w:themeColor="text1"/>
          <w:sz w:val="28"/>
          <w:szCs w:val="28"/>
          <w:shd w:val="clear" w:color="auto" w:fill="FFFFFF"/>
        </w:rPr>
        <w:t xml:space="preserve">-рейтингов в настоящее время сильно фрагментирована. Компании от разных рейтинговых агентств зачастую получают полярные оценки, что снижает возможность их сопоставимости инвесторами и эффективного использования при принятии своих инвестиционных решений. В сфере </w:t>
      </w:r>
      <w:r w:rsidRPr="004C7EA0">
        <w:rPr>
          <w:rFonts w:ascii="Times New Roman" w:hAnsi="Times New Roman" w:cs="Times New Roman"/>
          <w:color w:val="000000" w:themeColor="text1"/>
          <w:sz w:val="28"/>
          <w:szCs w:val="28"/>
          <w:shd w:val="clear" w:color="auto" w:fill="FFFFFF"/>
          <w:lang w:val="en-US"/>
        </w:rPr>
        <w:t>ESG</w:t>
      </w:r>
      <w:r w:rsidRPr="004C7EA0">
        <w:rPr>
          <w:rFonts w:ascii="Times New Roman" w:hAnsi="Times New Roman" w:cs="Times New Roman"/>
          <w:color w:val="000000" w:themeColor="text1"/>
          <w:sz w:val="28"/>
          <w:szCs w:val="28"/>
          <w:shd w:val="clear" w:color="auto" w:fill="FFFFFF"/>
        </w:rPr>
        <w:t xml:space="preserve">-рейтингования существуют и другие проблемы, в процесс решения которых в настоящее время включается все больше и больше государств и международных организаций, как ОЭСР и </w:t>
      </w:r>
      <w:r w:rsidRPr="004C7EA0">
        <w:rPr>
          <w:rFonts w:ascii="Times New Roman" w:hAnsi="Times New Roman" w:cs="Times New Roman"/>
          <w:color w:val="000000" w:themeColor="text1"/>
          <w:sz w:val="28"/>
          <w:szCs w:val="28"/>
          <w:shd w:val="clear" w:color="auto" w:fill="FFFFFF"/>
          <w:lang w:val="en-US"/>
        </w:rPr>
        <w:t>IOSCO</w:t>
      </w:r>
      <w:r w:rsidRPr="004C7EA0">
        <w:rPr>
          <w:rFonts w:ascii="Times New Roman" w:hAnsi="Times New Roman" w:cs="Times New Roman"/>
          <w:color w:val="000000" w:themeColor="text1"/>
          <w:sz w:val="28"/>
          <w:szCs w:val="28"/>
          <w:shd w:val="clear" w:color="auto" w:fill="FFFFFF"/>
        </w:rPr>
        <w:t xml:space="preserve">. </w:t>
      </w:r>
      <w:r w:rsidRPr="004C7EA0">
        <w:rPr>
          <w:rFonts w:ascii="Times New Roman" w:hAnsi="Times New Roman" w:cs="Times New Roman"/>
          <w:color w:val="000000" w:themeColor="text1"/>
          <w:sz w:val="28"/>
          <w:szCs w:val="28"/>
        </w:rPr>
        <w:t xml:space="preserve">В российской среде институт </w:t>
      </w:r>
      <w:r w:rsidRPr="004C7EA0">
        <w:rPr>
          <w:rFonts w:ascii="Times New Roman" w:hAnsi="Times New Roman" w:cs="Times New Roman"/>
          <w:color w:val="000000" w:themeColor="text1"/>
          <w:sz w:val="28"/>
          <w:szCs w:val="28"/>
          <w:lang w:val="en-US"/>
        </w:rPr>
        <w:t>ESG</w:t>
      </w:r>
      <w:r w:rsidRPr="004C7EA0">
        <w:rPr>
          <w:rFonts w:ascii="Times New Roman" w:hAnsi="Times New Roman" w:cs="Times New Roman"/>
          <w:color w:val="000000" w:themeColor="text1"/>
          <w:sz w:val="28"/>
          <w:szCs w:val="28"/>
        </w:rPr>
        <w:t xml:space="preserve">-рейтингования, а именно вопросы его регулирования также подвергаются активному обсуждению. На этом фоне Банк России в январе 2023 года выпустил Модельную методологию </w:t>
      </w:r>
      <w:r w:rsidRPr="004C7EA0">
        <w:rPr>
          <w:rFonts w:ascii="Times New Roman" w:hAnsi="Times New Roman" w:cs="Times New Roman"/>
          <w:color w:val="000000" w:themeColor="text1"/>
          <w:sz w:val="28"/>
          <w:szCs w:val="28"/>
          <w:lang w:val="en-US"/>
        </w:rPr>
        <w:t>ESG</w:t>
      </w:r>
      <w:r w:rsidRPr="004C7EA0">
        <w:rPr>
          <w:rFonts w:ascii="Times New Roman" w:hAnsi="Times New Roman" w:cs="Times New Roman"/>
          <w:color w:val="000000" w:themeColor="text1"/>
          <w:sz w:val="28"/>
          <w:szCs w:val="28"/>
        </w:rPr>
        <w:t>-рейтингов.</w:t>
      </w:r>
    </w:p>
    <w:p w14:paraId="5FC044DA" w14:textId="77777777" w:rsidR="00D66266" w:rsidRPr="004C7EA0" w:rsidRDefault="00D66266" w:rsidP="00F90684">
      <w:pPr>
        <w:spacing w:after="0" w:line="24" w:lineRule="atLeast"/>
        <w:ind w:firstLine="709"/>
        <w:contextualSpacing/>
        <w:jc w:val="both"/>
        <w:outlineLvl w:val="0"/>
        <w:rPr>
          <w:rFonts w:ascii="Times New Roman" w:hAnsi="Times New Roman" w:cs="Times New Roman"/>
          <w:b/>
          <w:color w:val="000000" w:themeColor="text1"/>
          <w:sz w:val="28"/>
          <w:szCs w:val="28"/>
          <w:shd w:val="clear" w:color="auto" w:fill="FFFFFF"/>
        </w:rPr>
      </w:pPr>
    </w:p>
    <w:p w14:paraId="6E1E5BA6" w14:textId="77777777" w:rsidR="001C6342" w:rsidRPr="004C7EA0" w:rsidRDefault="001C6342" w:rsidP="00F90684">
      <w:pPr>
        <w:spacing w:after="0" w:line="24" w:lineRule="atLeast"/>
        <w:ind w:firstLine="709"/>
        <w:contextualSpacing/>
        <w:jc w:val="both"/>
        <w:rPr>
          <w:rFonts w:ascii="Times New Roman" w:hAnsi="Times New Roman" w:cs="Times New Roman"/>
          <w:b/>
          <w:color w:val="000000" w:themeColor="text1"/>
          <w:sz w:val="28"/>
          <w:szCs w:val="28"/>
          <w:shd w:val="clear" w:color="auto" w:fill="FFFFFF"/>
        </w:rPr>
      </w:pPr>
      <w:r w:rsidRPr="004C7EA0">
        <w:rPr>
          <w:rFonts w:ascii="Times New Roman" w:hAnsi="Times New Roman" w:cs="Times New Roman"/>
          <w:b/>
          <w:color w:val="000000" w:themeColor="text1"/>
          <w:sz w:val="28"/>
          <w:szCs w:val="28"/>
          <w:shd w:val="clear" w:color="auto" w:fill="FFFFFF"/>
        </w:rPr>
        <w:lastRenderedPageBreak/>
        <w:t>Ключевые слова</w:t>
      </w:r>
      <w:r w:rsidR="00FC0B21" w:rsidRPr="004C7EA0">
        <w:rPr>
          <w:rFonts w:ascii="Times New Roman" w:hAnsi="Times New Roman" w:cs="Times New Roman"/>
          <w:b/>
          <w:color w:val="000000" w:themeColor="text1"/>
          <w:sz w:val="28"/>
          <w:szCs w:val="28"/>
          <w:shd w:val="clear" w:color="auto" w:fill="FFFFFF"/>
        </w:rPr>
        <w:t xml:space="preserve">: </w:t>
      </w:r>
      <w:r w:rsidR="00D66266" w:rsidRPr="004C7EA0">
        <w:rPr>
          <w:rFonts w:ascii="Times New Roman" w:hAnsi="Times New Roman" w:cs="Times New Roman"/>
          <w:b/>
          <w:color w:val="000000" w:themeColor="text1"/>
          <w:sz w:val="28"/>
          <w:szCs w:val="28"/>
          <w:shd w:val="clear" w:color="auto" w:fill="FFFFFF"/>
        </w:rPr>
        <w:t xml:space="preserve">устойчивое финансирование, </w:t>
      </w:r>
      <w:r w:rsidR="00FC0B21" w:rsidRPr="004C7EA0">
        <w:rPr>
          <w:rFonts w:ascii="Times New Roman" w:hAnsi="Times New Roman" w:cs="Times New Roman"/>
          <w:b/>
          <w:color w:val="000000" w:themeColor="text1"/>
          <w:sz w:val="28"/>
          <w:szCs w:val="28"/>
          <w:shd w:val="clear" w:color="auto" w:fill="FFFFFF"/>
          <w:lang w:val="en-US"/>
        </w:rPr>
        <w:t>ESG</w:t>
      </w:r>
      <w:r w:rsidR="00FC0B21" w:rsidRPr="004C7EA0">
        <w:rPr>
          <w:rFonts w:ascii="Times New Roman" w:hAnsi="Times New Roman" w:cs="Times New Roman"/>
          <w:b/>
          <w:color w:val="000000" w:themeColor="text1"/>
          <w:sz w:val="28"/>
          <w:szCs w:val="28"/>
          <w:shd w:val="clear" w:color="auto" w:fill="FFFFFF"/>
        </w:rPr>
        <w:t xml:space="preserve">, </w:t>
      </w:r>
      <w:r w:rsidR="00D66266" w:rsidRPr="004C7EA0">
        <w:rPr>
          <w:rFonts w:ascii="Times New Roman" w:hAnsi="Times New Roman" w:cs="Times New Roman"/>
          <w:b/>
          <w:color w:val="000000" w:themeColor="text1"/>
          <w:sz w:val="28"/>
          <w:szCs w:val="28"/>
          <w:shd w:val="clear" w:color="auto" w:fill="FFFFFF"/>
        </w:rPr>
        <w:t xml:space="preserve">институт </w:t>
      </w:r>
      <w:r w:rsidR="00D66266" w:rsidRPr="004C7EA0">
        <w:rPr>
          <w:rFonts w:ascii="Times New Roman" w:hAnsi="Times New Roman" w:cs="Times New Roman"/>
          <w:b/>
          <w:color w:val="000000" w:themeColor="text1"/>
          <w:sz w:val="28"/>
          <w:szCs w:val="28"/>
          <w:shd w:val="clear" w:color="auto" w:fill="FFFFFF"/>
          <w:lang w:val="en-US"/>
        </w:rPr>
        <w:t>ESG</w:t>
      </w:r>
      <w:r w:rsidR="00D66266" w:rsidRPr="004C7EA0">
        <w:rPr>
          <w:rFonts w:ascii="Times New Roman" w:hAnsi="Times New Roman" w:cs="Times New Roman"/>
          <w:b/>
          <w:color w:val="000000" w:themeColor="text1"/>
          <w:sz w:val="28"/>
          <w:szCs w:val="28"/>
          <w:shd w:val="clear" w:color="auto" w:fill="FFFFFF"/>
        </w:rPr>
        <w:t xml:space="preserve">-рейтингования, </w:t>
      </w:r>
      <w:r w:rsidR="00FC0B21" w:rsidRPr="004C7EA0">
        <w:rPr>
          <w:rFonts w:ascii="Times New Roman" w:hAnsi="Times New Roman" w:cs="Times New Roman"/>
          <w:b/>
          <w:color w:val="000000" w:themeColor="text1"/>
          <w:sz w:val="28"/>
          <w:szCs w:val="28"/>
          <w:shd w:val="clear" w:color="auto" w:fill="FFFFFF"/>
          <w:lang w:val="en-US"/>
        </w:rPr>
        <w:t>ESG</w:t>
      </w:r>
      <w:r w:rsidR="00FC0B21" w:rsidRPr="004C7EA0">
        <w:rPr>
          <w:rFonts w:ascii="Times New Roman" w:hAnsi="Times New Roman" w:cs="Times New Roman"/>
          <w:b/>
          <w:color w:val="000000" w:themeColor="text1"/>
          <w:sz w:val="28"/>
          <w:szCs w:val="28"/>
          <w:shd w:val="clear" w:color="auto" w:fill="FFFFFF"/>
        </w:rPr>
        <w:t xml:space="preserve">-рейтинги, </w:t>
      </w:r>
      <w:r w:rsidR="00FC0B21" w:rsidRPr="004C7EA0">
        <w:rPr>
          <w:rFonts w:ascii="Times New Roman" w:hAnsi="Times New Roman" w:cs="Times New Roman"/>
          <w:b/>
          <w:color w:val="000000" w:themeColor="text1"/>
          <w:sz w:val="28"/>
          <w:szCs w:val="28"/>
          <w:shd w:val="clear" w:color="auto" w:fill="FFFFFF"/>
          <w:lang w:val="en-US"/>
        </w:rPr>
        <w:t>ESG</w:t>
      </w:r>
      <w:r w:rsidR="00FC0B21" w:rsidRPr="004C7EA0">
        <w:rPr>
          <w:rFonts w:ascii="Times New Roman" w:hAnsi="Times New Roman" w:cs="Times New Roman"/>
          <w:b/>
          <w:color w:val="000000" w:themeColor="text1"/>
          <w:sz w:val="28"/>
          <w:szCs w:val="28"/>
          <w:shd w:val="clear" w:color="auto" w:fill="FFFFFF"/>
        </w:rPr>
        <w:t>-провайдеры</w:t>
      </w:r>
    </w:p>
    <w:p w14:paraId="1DAEE432" w14:textId="77777777" w:rsidR="00C17924" w:rsidRPr="004C7EA0" w:rsidRDefault="00C17924" w:rsidP="00F90684">
      <w:pPr>
        <w:spacing w:after="0" w:line="24" w:lineRule="atLeast"/>
        <w:ind w:firstLine="709"/>
        <w:contextualSpacing/>
        <w:jc w:val="both"/>
        <w:rPr>
          <w:rFonts w:ascii="Times New Roman" w:hAnsi="Times New Roman" w:cs="Times New Roman"/>
          <w:b/>
          <w:color w:val="000000" w:themeColor="text1"/>
          <w:sz w:val="28"/>
          <w:szCs w:val="28"/>
          <w:shd w:val="clear" w:color="auto" w:fill="FFFFFF"/>
        </w:rPr>
      </w:pPr>
    </w:p>
    <w:p w14:paraId="5975136D" w14:textId="77777777" w:rsidR="001C6342" w:rsidRPr="00993AA3" w:rsidRDefault="001C6342" w:rsidP="00F90684">
      <w:pPr>
        <w:spacing w:after="0" w:line="24" w:lineRule="atLeast"/>
        <w:ind w:firstLine="709"/>
        <w:contextualSpacing/>
        <w:jc w:val="both"/>
        <w:rPr>
          <w:rFonts w:ascii="Times New Roman" w:hAnsi="Times New Roman" w:cs="Times New Roman"/>
          <w:b/>
          <w:color w:val="000000" w:themeColor="text1"/>
          <w:sz w:val="28"/>
          <w:szCs w:val="28"/>
          <w:shd w:val="clear" w:color="auto" w:fill="FFFFFF"/>
          <w:lang w:val="en-US"/>
        </w:rPr>
      </w:pPr>
      <w:r w:rsidRPr="004C7EA0">
        <w:rPr>
          <w:rFonts w:ascii="Times New Roman" w:hAnsi="Times New Roman" w:cs="Times New Roman"/>
          <w:b/>
          <w:color w:val="000000" w:themeColor="text1"/>
          <w:sz w:val="28"/>
          <w:szCs w:val="28"/>
          <w:shd w:val="clear" w:color="auto" w:fill="FFFFFF"/>
          <w:lang w:val="en-US"/>
        </w:rPr>
        <w:t>Abstract</w:t>
      </w:r>
    </w:p>
    <w:p w14:paraId="7B771E73" w14:textId="77777777" w:rsidR="00D66266" w:rsidRPr="00993AA3" w:rsidRDefault="00D66266"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lang w:val="en-US"/>
        </w:rPr>
      </w:pPr>
      <w:r w:rsidRPr="004C7EA0">
        <w:rPr>
          <w:rFonts w:ascii="Times New Roman" w:hAnsi="Times New Roman" w:cs="Times New Roman"/>
          <w:color w:val="000000" w:themeColor="text1"/>
          <w:sz w:val="28"/>
          <w:szCs w:val="28"/>
          <w:shd w:val="clear" w:color="auto" w:fill="FFFFFF"/>
          <w:lang w:val="en-US"/>
        </w:rPr>
        <w:t>The ESG ratings industry is currently highly fragmented. Companies often receive polar ratings from different rating agencies, which reduces the possibility of their comparability by investors and effective use in th</w:t>
      </w:r>
      <w:r w:rsidR="00C17924" w:rsidRPr="004C7EA0">
        <w:rPr>
          <w:rFonts w:ascii="Times New Roman" w:hAnsi="Times New Roman" w:cs="Times New Roman"/>
          <w:color w:val="000000" w:themeColor="text1"/>
          <w:sz w:val="28"/>
          <w:szCs w:val="28"/>
          <w:shd w:val="clear" w:color="auto" w:fill="FFFFFF"/>
          <w:lang w:val="en-US"/>
        </w:rPr>
        <w:t>eir investment decision-making process</w:t>
      </w:r>
      <w:r w:rsidRPr="004C7EA0">
        <w:rPr>
          <w:rFonts w:ascii="Times New Roman" w:hAnsi="Times New Roman" w:cs="Times New Roman"/>
          <w:color w:val="000000" w:themeColor="text1"/>
          <w:sz w:val="28"/>
          <w:szCs w:val="28"/>
          <w:shd w:val="clear" w:color="auto" w:fill="FFFFFF"/>
          <w:lang w:val="en-US"/>
        </w:rPr>
        <w:t>. There are oth</w:t>
      </w:r>
      <w:r w:rsidR="00C17924" w:rsidRPr="004C7EA0">
        <w:rPr>
          <w:rFonts w:ascii="Times New Roman" w:hAnsi="Times New Roman" w:cs="Times New Roman"/>
          <w:color w:val="000000" w:themeColor="text1"/>
          <w:sz w:val="28"/>
          <w:szCs w:val="28"/>
          <w:shd w:val="clear" w:color="auto" w:fill="FFFFFF"/>
          <w:lang w:val="en-US"/>
        </w:rPr>
        <w:t xml:space="preserve">er problems in the field of ESG </w:t>
      </w:r>
      <w:r w:rsidRPr="004C7EA0">
        <w:rPr>
          <w:rFonts w:ascii="Times New Roman" w:hAnsi="Times New Roman" w:cs="Times New Roman"/>
          <w:color w:val="000000" w:themeColor="text1"/>
          <w:sz w:val="28"/>
          <w:szCs w:val="28"/>
          <w:shd w:val="clear" w:color="auto" w:fill="FFFFFF"/>
          <w:lang w:val="en-US"/>
        </w:rPr>
        <w:t>rating, which are currently being addressed by more and more states and international organizations, such as the OECD and IOSCO. In the Russian en</w:t>
      </w:r>
      <w:r w:rsidR="00C17924" w:rsidRPr="004C7EA0">
        <w:rPr>
          <w:rFonts w:ascii="Times New Roman" w:hAnsi="Times New Roman" w:cs="Times New Roman"/>
          <w:color w:val="000000" w:themeColor="text1"/>
          <w:sz w:val="28"/>
          <w:szCs w:val="28"/>
          <w:shd w:val="clear" w:color="auto" w:fill="FFFFFF"/>
          <w:lang w:val="en-US"/>
        </w:rPr>
        <w:t xml:space="preserve">vironment, the ESG </w:t>
      </w:r>
      <w:r w:rsidRPr="004C7EA0">
        <w:rPr>
          <w:rFonts w:ascii="Times New Roman" w:hAnsi="Times New Roman" w:cs="Times New Roman"/>
          <w:color w:val="000000" w:themeColor="text1"/>
          <w:sz w:val="28"/>
          <w:szCs w:val="28"/>
          <w:shd w:val="clear" w:color="auto" w:fill="FFFFFF"/>
          <w:lang w:val="en-US"/>
        </w:rPr>
        <w:t>rating</w:t>
      </w:r>
      <w:r w:rsidR="00C17924" w:rsidRPr="004C7EA0">
        <w:rPr>
          <w:rFonts w:ascii="Times New Roman" w:hAnsi="Times New Roman" w:cs="Times New Roman"/>
          <w:color w:val="000000" w:themeColor="text1"/>
          <w:sz w:val="28"/>
          <w:szCs w:val="28"/>
          <w:shd w:val="clear" w:color="auto" w:fill="FFFFFF"/>
          <w:lang w:val="en-US"/>
        </w:rPr>
        <w:t xml:space="preserve"> institute, namely the issues of its regulation, are</w:t>
      </w:r>
      <w:r w:rsidRPr="004C7EA0">
        <w:rPr>
          <w:rFonts w:ascii="Times New Roman" w:hAnsi="Times New Roman" w:cs="Times New Roman"/>
          <w:color w:val="000000" w:themeColor="text1"/>
          <w:sz w:val="28"/>
          <w:szCs w:val="28"/>
          <w:shd w:val="clear" w:color="auto" w:fill="FFFFFF"/>
          <w:lang w:val="en-US"/>
        </w:rPr>
        <w:t xml:space="preserve"> also actively discussed. Against this background, the Bank of Russia in January 2023 released a Model Methodology for ESG Ratings.</w:t>
      </w:r>
    </w:p>
    <w:p w14:paraId="23D82A86" w14:textId="77777777" w:rsidR="00D66266" w:rsidRPr="00993AA3" w:rsidRDefault="00D66266"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lang w:val="en-US"/>
        </w:rPr>
      </w:pPr>
    </w:p>
    <w:p w14:paraId="36E41D30" w14:textId="77777777" w:rsidR="001C6342" w:rsidRPr="004C7EA0" w:rsidRDefault="001C6342" w:rsidP="00F90684">
      <w:pPr>
        <w:spacing w:after="0" w:line="24" w:lineRule="atLeast"/>
        <w:ind w:firstLine="709"/>
        <w:contextualSpacing/>
        <w:jc w:val="both"/>
        <w:rPr>
          <w:rFonts w:ascii="Times New Roman" w:hAnsi="Times New Roman" w:cs="Times New Roman"/>
          <w:b/>
          <w:color w:val="000000" w:themeColor="text1"/>
          <w:sz w:val="28"/>
          <w:szCs w:val="28"/>
          <w:shd w:val="clear" w:color="auto" w:fill="FFFFFF"/>
          <w:lang w:val="en-US"/>
        </w:rPr>
      </w:pPr>
      <w:r w:rsidRPr="004C7EA0">
        <w:rPr>
          <w:rFonts w:ascii="Times New Roman" w:hAnsi="Times New Roman" w:cs="Times New Roman"/>
          <w:b/>
          <w:color w:val="000000" w:themeColor="text1"/>
          <w:sz w:val="28"/>
          <w:szCs w:val="28"/>
          <w:shd w:val="clear" w:color="auto" w:fill="FFFFFF"/>
          <w:lang w:val="en-US"/>
        </w:rPr>
        <w:t>Keywords</w:t>
      </w:r>
      <w:r w:rsidR="00C17924" w:rsidRPr="004C7EA0">
        <w:rPr>
          <w:rFonts w:ascii="Times New Roman" w:hAnsi="Times New Roman" w:cs="Times New Roman"/>
          <w:b/>
          <w:color w:val="000000" w:themeColor="text1"/>
          <w:sz w:val="28"/>
          <w:szCs w:val="28"/>
          <w:shd w:val="clear" w:color="auto" w:fill="FFFFFF"/>
          <w:lang w:val="en-US"/>
        </w:rPr>
        <w:t>: sustainable financing, ESG, ESG rating institute, ESG ratings, ESG providers</w:t>
      </w:r>
    </w:p>
    <w:p w14:paraId="6840915A" w14:textId="77777777" w:rsidR="00C17924" w:rsidRPr="004C7EA0" w:rsidRDefault="00C17924" w:rsidP="00F90684">
      <w:pPr>
        <w:spacing w:after="0" w:line="24" w:lineRule="atLeast"/>
        <w:ind w:firstLine="709"/>
        <w:contextualSpacing/>
        <w:jc w:val="both"/>
        <w:outlineLvl w:val="0"/>
        <w:rPr>
          <w:rFonts w:ascii="Times New Roman" w:hAnsi="Times New Roman" w:cs="Times New Roman"/>
          <w:b/>
          <w:color w:val="000000" w:themeColor="text1"/>
          <w:sz w:val="28"/>
          <w:szCs w:val="28"/>
          <w:shd w:val="clear" w:color="auto" w:fill="FFFFFF"/>
          <w:lang w:val="en-US"/>
        </w:rPr>
      </w:pPr>
    </w:p>
    <w:p w14:paraId="10151E83" w14:textId="128438EE" w:rsidR="001C6342" w:rsidRPr="00993AA3" w:rsidRDefault="00993AA3" w:rsidP="00F90684">
      <w:pPr>
        <w:spacing w:after="0" w:line="24" w:lineRule="atLeast"/>
        <w:ind w:firstLine="709"/>
        <w:contextualSpacing/>
        <w:jc w:val="center"/>
        <w:outlineLvl w:val="0"/>
        <w:rPr>
          <w:rFonts w:ascii="Times New Roman" w:hAnsi="Times New Roman" w:cs="Times New Roman"/>
          <w:b/>
          <w:color w:val="000000" w:themeColor="text1"/>
          <w:sz w:val="28"/>
          <w:szCs w:val="28"/>
          <w:shd w:val="clear" w:color="auto" w:fill="FFFFFF"/>
        </w:rPr>
      </w:pPr>
      <w:r w:rsidRPr="00993AA3">
        <w:rPr>
          <w:rFonts w:ascii="Times New Roman" w:hAnsi="Times New Roman" w:cs="Times New Roman"/>
          <w:b/>
          <w:color w:val="000000" w:themeColor="text1"/>
          <w:sz w:val="28"/>
          <w:szCs w:val="28"/>
          <w:shd w:val="clear" w:color="auto" w:fill="FFFFFF"/>
        </w:rPr>
        <w:t>Р</w:t>
      </w:r>
      <w:r>
        <w:rPr>
          <w:rFonts w:ascii="Times New Roman" w:hAnsi="Times New Roman" w:cs="Times New Roman"/>
          <w:b/>
          <w:color w:val="000000" w:themeColor="text1"/>
          <w:sz w:val="28"/>
          <w:szCs w:val="28"/>
          <w:shd w:val="clear" w:color="auto" w:fill="FFFFFF"/>
        </w:rPr>
        <w:t>егулирование E</w:t>
      </w:r>
      <w:r>
        <w:rPr>
          <w:rFonts w:ascii="Times New Roman" w:hAnsi="Times New Roman" w:cs="Times New Roman"/>
          <w:b/>
          <w:color w:val="000000" w:themeColor="text1"/>
          <w:sz w:val="28"/>
          <w:szCs w:val="28"/>
          <w:shd w:val="clear" w:color="auto" w:fill="FFFFFF"/>
          <w:lang w:val="en-US"/>
        </w:rPr>
        <w:t>SG</w:t>
      </w:r>
      <w:r w:rsidRPr="00993AA3">
        <w:rPr>
          <w:rFonts w:ascii="Times New Roman" w:hAnsi="Times New Roman" w:cs="Times New Roman"/>
          <w:b/>
          <w:color w:val="000000" w:themeColor="text1"/>
          <w:sz w:val="28"/>
          <w:szCs w:val="28"/>
          <w:shd w:val="clear" w:color="auto" w:fill="FFFFFF"/>
        </w:rPr>
        <w:t>-р</w:t>
      </w:r>
      <w:r>
        <w:rPr>
          <w:rFonts w:ascii="Times New Roman" w:hAnsi="Times New Roman" w:cs="Times New Roman"/>
          <w:b/>
          <w:color w:val="000000" w:themeColor="text1"/>
          <w:sz w:val="28"/>
          <w:szCs w:val="28"/>
          <w:shd w:val="clear" w:color="auto" w:fill="FFFFFF"/>
        </w:rPr>
        <w:t>ейтингов в России и мире</w:t>
      </w:r>
    </w:p>
    <w:p w14:paraId="154041E3" w14:textId="56939843" w:rsidR="001C6342" w:rsidRPr="00993AA3" w:rsidRDefault="00993AA3" w:rsidP="00F90684">
      <w:pPr>
        <w:spacing w:after="0" w:line="24" w:lineRule="atLeast"/>
        <w:ind w:firstLine="709"/>
        <w:contextualSpacing/>
        <w:jc w:val="center"/>
        <w:rPr>
          <w:rFonts w:ascii="Times New Roman" w:hAnsi="Times New Roman" w:cs="Times New Roman"/>
          <w:b/>
          <w:color w:val="000000" w:themeColor="text1"/>
          <w:sz w:val="28"/>
          <w:szCs w:val="28"/>
          <w:shd w:val="clear" w:color="auto" w:fill="FFFFFF"/>
          <w:lang w:val="en-US"/>
        </w:rPr>
      </w:pPr>
      <w:r>
        <w:rPr>
          <w:rFonts w:ascii="Times New Roman" w:hAnsi="Times New Roman" w:cs="Times New Roman"/>
          <w:b/>
          <w:color w:val="000000" w:themeColor="text1"/>
          <w:sz w:val="28"/>
          <w:szCs w:val="28"/>
          <w:shd w:val="clear" w:color="auto" w:fill="FFFFFF"/>
          <w:lang w:val="en-US"/>
        </w:rPr>
        <w:t xml:space="preserve">ESG-rating regulation in Russia and the world </w:t>
      </w:r>
    </w:p>
    <w:p w14:paraId="5D2C6114" w14:textId="77777777" w:rsidR="00C17924" w:rsidRPr="00993AA3" w:rsidRDefault="00C17924" w:rsidP="00F90684">
      <w:pPr>
        <w:spacing w:after="0" w:line="24" w:lineRule="atLeast"/>
        <w:ind w:firstLine="709"/>
        <w:contextualSpacing/>
        <w:jc w:val="both"/>
        <w:rPr>
          <w:rFonts w:ascii="Times New Roman" w:hAnsi="Times New Roman" w:cs="Times New Roman"/>
          <w:b/>
          <w:color w:val="000000" w:themeColor="text1"/>
          <w:sz w:val="28"/>
          <w:szCs w:val="28"/>
          <w:shd w:val="clear" w:color="auto" w:fill="FFFFFF"/>
          <w:lang w:val="en-US"/>
        </w:rPr>
      </w:pPr>
    </w:p>
    <w:p w14:paraId="0A951E47" w14:textId="77777777" w:rsidR="008C2C46" w:rsidRPr="004C7EA0" w:rsidRDefault="008C2C46"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r w:rsidRPr="004C7EA0">
        <w:rPr>
          <w:rFonts w:ascii="Times New Roman" w:hAnsi="Times New Roman" w:cs="Times New Roman"/>
          <w:color w:val="000000" w:themeColor="text1"/>
          <w:sz w:val="28"/>
          <w:szCs w:val="28"/>
          <w:shd w:val="clear" w:color="auto" w:fill="FFFFFF"/>
        </w:rPr>
        <w:t xml:space="preserve">В связи с активно развивающимся трендом на устойчивое финансирование происходит закономерное расширение рынка </w:t>
      </w:r>
      <w:r w:rsidRPr="004C7EA0">
        <w:rPr>
          <w:rFonts w:ascii="Times New Roman" w:hAnsi="Times New Roman" w:cs="Times New Roman"/>
          <w:color w:val="000000" w:themeColor="text1"/>
          <w:sz w:val="28"/>
          <w:szCs w:val="28"/>
          <w:shd w:val="clear" w:color="auto" w:fill="FFFFFF"/>
          <w:lang w:val="en-US"/>
        </w:rPr>
        <w:t>ESG</w:t>
      </w:r>
      <w:r w:rsidRPr="004C7EA0">
        <w:rPr>
          <w:rFonts w:ascii="Times New Roman" w:hAnsi="Times New Roman" w:cs="Times New Roman"/>
          <w:color w:val="000000" w:themeColor="text1"/>
          <w:sz w:val="28"/>
          <w:szCs w:val="28"/>
          <w:shd w:val="clear" w:color="auto" w:fill="FFFFFF"/>
        </w:rPr>
        <w:t xml:space="preserve">-рейтингов и связанных </w:t>
      </w:r>
      <w:r w:rsidRPr="004C7EA0">
        <w:rPr>
          <w:rFonts w:ascii="Times New Roman" w:hAnsi="Times New Roman" w:cs="Times New Roman"/>
          <w:color w:val="000000" w:themeColor="text1"/>
          <w:sz w:val="28"/>
          <w:szCs w:val="28"/>
          <w:shd w:val="clear" w:color="auto" w:fill="FFFFFF"/>
          <w:lang w:val="en-US"/>
        </w:rPr>
        <w:t>ESG</w:t>
      </w:r>
      <w:r w:rsidRPr="004C7EA0">
        <w:rPr>
          <w:rFonts w:ascii="Times New Roman" w:hAnsi="Times New Roman" w:cs="Times New Roman"/>
          <w:color w:val="000000" w:themeColor="text1"/>
          <w:sz w:val="28"/>
          <w:szCs w:val="28"/>
          <w:shd w:val="clear" w:color="auto" w:fill="FFFFFF"/>
        </w:rPr>
        <w:t xml:space="preserve">-продуктов. В настоящее время существует более 600 стандартов и структур ESG, поставщиков данных, а также рейтингов и </w:t>
      </w:r>
      <w:proofErr w:type="spellStart"/>
      <w:r w:rsidRPr="004C7EA0">
        <w:rPr>
          <w:rFonts w:ascii="Times New Roman" w:hAnsi="Times New Roman" w:cs="Times New Roman"/>
          <w:color w:val="000000" w:themeColor="text1"/>
          <w:sz w:val="28"/>
          <w:szCs w:val="28"/>
          <w:shd w:val="clear" w:color="auto" w:fill="FFFFFF"/>
        </w:rPr>
        <w:t>ренкингов</w:t>
      </w:r>
      <w:proofErr w:type="spellEnd"/>
      <w:r w:rsidRPr="004C7EA0">
        <w:rPr>
          <w:rFonts w:ascii="Times New Roman" w:hAnsi="Times New Roman" w:cs="Times New Roman"/>
          <w:color w:val="000000" w:themeColor="text1"/>
          <w:sz w:val="28"/>
          <w:szCs w:val="28"/>
          <w:shd w:val="clear" w:color="auto" w:fill="FFFFFF"/>
        </w:rPr>
        <w:t xml:space="preserve">, предоставляемых известными рейтинговыми агентствами и поставщиками данных, а также </w:t>
      </w:r>
      <w:proofErr w:type="spellStart"/>
      <w:r w:rsidRPr="004C7EA0">
        <w:rPr>
          <w:rFonts w:ascii="Times New Roman" w:hAnsi="Times New Roman" w:cs="Times New Roman"/>
          <w:color w:val="000000" w:themeColor="text1"/>
          <w:sz w:val="28"/>
          <w:szCs w:val="28"/>
          <w:shd w:val="clear" w:color="auto" w:fill="FFFFFF"/>
        </w:rPr>
        <w:t>нишевыми</w:t>
      </w:r>
      <w:proofErr w:type="spellEnd"/>
      <w:r w:rsidRPr="004C7EA0">
        <w:rPr>
          <w:rFonts w:ascii="Times New Roman" w:hAnsi="Times New Roman" w:cs="Times New Roman"/>
          <w:color w:val="000000" w:themeColor="text1"/>
          <w:sz w:val="28"/>
          <w:szCs w:val="28"/>
          <w:shd w:val="clear" w:color="auto" w:fill="FFFFFF"/>
        </w:rPr>
        <w:t xml:space="preserve"> поставщиками</w:t>
      </w:r>
      <w:r w:rsidR="004C7EA0">
        <w:rPr>
          <w:rFonts w:ascii="Times New Roman" w:hAnsi="Times New Roman" w:cs="Times New Roman"/>
          <w:color w:val="000000" w:themeColor="text1"/>
          <w:sz w:val="28"/>
          <w:szCs w:val="28"/>
          <w:shd w:val="clear" w:color="auto" w:fill="FFFFFF"/>
        </w:rPr>
        <w:t>.</w:t>
      </w:r>
      <w:r w:rsidR="004C7EA0" w:rsidRPr="004C7EA0">
        <w:rPr>
          <w:rFonts w:ascii="Times New Roman" w:hAnsi="Times New Roman" w:cs="Times New Roman"/>
          <w:color w:val="000000" w:themeColor="text1"/>
          <w:sz w:val="28"/>
          <w:szCs w:val="28"/>
          <w:shd w:val="clear" w:color="auto" w:fill="FFFFFF"/>
        </w:rPr>
        <w:t xml:space="preserve"> </w:t>
      </w:r>
      <w:r w:rsidRPr="004C7EA0">
        <w:rPr>
          <w:rFonts w:ascii="Times New Roman" w:hAnsi="Times New Roman" w:cs="Times New Roman"/>
          <w:color w:val="000000" w:themeColor="text1"/>
          <w:sz w:val="28"/>
          <w:szCs w:val="28"/>
          <w:shd w:val="clear" w:color="auto" w:fill="FFFFFF"/>
        </w:rPr>
        <w:t xml:space="preserve">При этом каждый из участников рынка придерживается своей собственной уникальной методологии, что стимулирует фрагментацию индустрии рейтингов </w:t>
      </w:r>
      <w:r w:rsidRPr="004C7EA0">
        <w:rPr>
          <w:rFonts w:ascii="Times New Roman" w:hAnsi="Times New Roman" w:cs="Times New Roman"/>
          <w:color w:val="000000" w:themeColor="text1"/>
          <w:sz w:val="28"/>
          <w:szCs w:val="28"/>
          <w:shd w:val="clear" w:color="auto" w:fill="FFFFFF"/>
          <w:lang w:val="en-US"/>
        </w:rPr>
        <w:t>ESG</w:t>
      </w:r>
      <w:r w:rsidRPr="004C7EA0">
        <w:rPr>
          <w:rFonts w:ascii="Times New Roman" w:hAnsi="Times New Roman" w:cs="Times New Roman"/>
          <w:color w:val="000000" w:themeColor="text1"/>
          <w:sz w:val="28"/>
          <w:szCs w:val="28"/>
          <w:shd w:val="clear" w:color="auto" w:fill="FFFFFF"/>
        </w:rPr>
        <w:t xml:space="preserve">. </w:t>
      </w:r>
    </w:p>
    <w:p w14:paraId="15B72D63" w14:textId="77777777" w:rsidR="008C2C46" w:rsidRPr="004C7EA0" w:rsidRDefault="008C2C46"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r w:rsidRPr="004C7EA0">
        <w:rPr>
          <w:rFonts w:ascii="Times New Roman" w:hAnsi="Times New Roman" w:cs="Times New Roman"/>
          <w:color w:val="000000" w:themeColor="text1"/>
          <w:sz w:val="28"/>
          <w:szCs w:val="28"/>
          <w:shd w:val="clear" w:color="auto" w:fill="FFFFFF"/>
        </w:rPr>
        <w:t xml:space="preserve">Согласно данным опроса, 26,4% специалистов по инвестициям отмечают относительную надежность </w:t>
      </w:r>
      <w:r w:rsidRPr="004C7EA0">
        <w:rPr>
          <w:rFonts w:ascii="Times New Roman" w:hAnsi="Times New Roman" w:cs="Times New Roman"/>
          <w:color w:val="000000" w:themeColor="text1"/>
          <w:sz w:val="28"/>
          <w:szCs w:val="28"/>
          <w:shd w:val="clear" w:color="auto" w:fill="FFFFFF"/>
          <w:lang w:val="en-US"/>
        </w:rPr>
        <w:t>ESG</w:t>
      </w:r>
      <w:r w:rsidRPr="004C7EA0">
        <w:rPr>
          <w:rFonts w:ascii="Times New Roman" w:hAnsi="Times New Roman" w:cs="Times New Roman"/>
          <w:color w:val="000000" w:themeColor="text1"/>
          <w:sz w:val="28"/>
          <w:szCs w:val="28"/>
          <w:shd w:val="clear" w:color="auto" w:fill="FFFFFF"/>
        </w:rPr>
        <w:t>-рейтингов.</w:t>
      </w:r>
      <w:r w:rsidRPr="004C7EA0">
        <w:rPr>
          <w:rStyle w:val="FootnoteReference"/>
          <w:rFonts w:ascii="Times New Roman" w:hAnsi="Times New Roman" w:cs="Times New Roman"/>
          <w:color w:val="000000" w:themeColor="text1"/>
          <w:sz w:val="28"/>
          <w:szCs w:val="28"/>
          <w:shd w:val="clear" w:color="auto" w:fill="FFFFFF"/>
        </w:rPr>
        <w:footnoteReference w:id="1"/>
      </w:r>
      <w:r w:rsidRPr="004C7EA0">
        <w:rPr>
          <w:rFonts w:ascii="Times New Roman" w:hAnsi="Times New Roman" w:cs="Times New Roman"/>
          <w:color w:val="000000" w:themeColor="text1"/>
          <w:sz w:val="28"/>
          <w:szCs w:val="28"/>
          <w:shd w:val="clear" w:color="auto" w:fill="FFFFFF"/>
        </w:rPr>
        <w:t xml:space="preserve">  О наблюдаемом снижении информативности </w:t>
      </w:r>
      <w:r w:rsidRPr="004C7EA0">
        <w:rPr>
          <w:rFonts w:ascii="Times New Roman" w:hAnsi="Times New Roman" w:cs="Times New Roman"/>
          <w:color w:val="000000" w:themeColor="text1"/>
          <w:sz w:val="28"/>
          <w:szCs w:val="28"/>
          <w:shd w:val="clear" w:color="auto" w:fill="FFFFFF"/>
          <w:lang w:val="en-US"/>
        </w:rPr>
        <w:t>ESG</w:t>
      </w:r>
      <w:r w:rsidRPr="004C7EA0">
        <w:rPr>
          <w:rFonts w:ascii="Times New Roman" w:hAnsi="Times New Roman" w:cs="Times New Roman"/>
          <w:color w:val="000000" w:themeColor="text1"/>
          <w:sz w:val="28"/>
          <w:szCs w:val="28"/>
          <w:shd w:val="clear" w:color="auto" w:fill="FFFFFF"/>
        </w:rPr>
        <w:t xml:space="preserve">-оценок от рейтинговых агентств говорится также в исследовании </w:t>
      </w:r>
      <w:proofErr w:type="spellStart"/>
      <w:r w:rsidRPr="004C7EA0">
        <w:rPr>
          <w:rFonts w:ascii="Times New Roman" w:hAnsi="Times New Roman" w:cs="Times New Roman"/>
          <w:color w:val="000000" w:themeColor="text1"/>
          <w:sz w:val="28"/>
          <w:szCs w:val="28"/>
          <w:shd w:val="clear" w:color="auto" w:fill="FFFFFF"/>
        </w:rPr>
        <w:t>Стэнфордского</w:t>
      </w:r>
      <w:proofErr w:type="spellEnd"/>
      <w:r w:rsidRPr="004C7EA0">
        <w:rPr>
          <w:rFonts w:ascii="Times New Roman" w:hAnsi="Times New Roman" w:cs="Times New Roman"/>
          <w:color w:val="000000" w:themeColor="text1"/>
          <w:sz w:val="28"/>
          <w:szCs w:val="28"/>
          <w:shd w:val="clear" w:color="auto" w:fill="FFFFFF"/>
        </w:rPr>
        <w:t xml:space="preserve"> университета от 2022 года.</w:t>
      </w:r>
      <w:r w:rsidRPr="004C7EA0">
        <w:rPr>
          <w:rStyle w:val="FootnoteReference"/>
          <w:rFonts w:ascii="Times New Roman" w:hAnsi="Times New Roman" w:cs="Times New Roman"/>
          <w:color w:val="000000" w:themeColor="text1"/>
          <w:sz w:val="28"/>
          <w:szCs w:val="28"/>
          <w:shd w:val="clear" w:color="auto" w:fill="FFFFFF"/>
        </w:rPr>
        <w:footnoteReference w:id="2"/>
      </w:r>
      <w:r w:rsidRPr="004C7EA0">
        <w:rPr>
          <w:rFonts w:ascii="Times New Roman" w:hAnsi="Times New Roman" w:cs="Times New Roman"/>
          <w:color w:val="000000" w:themeColor="text1"/>
          <w:sz w:val="28"/>
          <w:szCs w:val="28"/>
          <w:shd w:val="clear" w:color="auto" w:fill="FFFFFF"/>
        </w:rPr>
        <w:t xml:space="preserve"> </w:t>
      </w:r>
    </w:p>
    <w:p w14:paraId="2F54ED28" w14:textId="77777777" w:rsidR="00E83032" w:rsidRPr="004C7EA0" w:rsidRDefault="008C2C46" w:rsidP="00F90684">
      <w:pPr>
        <w:spacing w:after="0" w:line="24" w:lineRule="atLeast"/>
        <w:ind w:firstLine="709"/>
        <w:contextualSpacing/>
        <w:jc w:val="both"/>
        <w:rPr>
          <w:rFonts w:ascii="Times New Roman" w:hAnsi="Times New Roman" w:cs="Times New Roman"/>
          <w:color w:val="000000" w:themeColor="text1"/>
          <w:sz w:val="28"/>
          <w:szCs w:val="28"/>
        </w:rPr>
      </w:pPr>
      <w:r w:rsidRPr="004C7EA0">
        <w:rPr>
          <w:rFonts w:ascii="Times New Roman" w:hAnsi="Times New Roman" w:cs="Times New Roman"/>
          <w:color w:val="000000" w:themeColor="text1"/>
          <w:sz w:val="28"/>
          <w:szCs w:val="28"/>
          <w:shd w:val="clear" w:color="auto" w:fill="FFFFFF"/>
        </w:rPr>
        <w:t xml:space="preserve">Такие результаты продиктованы целым рядом причин. Во-первых, многими специалистами в настоящее время отмечается ограниченность целеполагания </w:t>
      </w:r>
      <w:r w:rsidRPr="004C7EA0">
        <w:rPr>
          <w:rFonts w:ascii="Times New Roman" w:hAnsi="Times New Roman" w:cs="Times New Roman"/>
          <w:color w:val="000000" w:themeColor="text1"/>
          <w:sz w:val="28"/>
          <w:szCs w:val="28"/>
          <w:shd w:val="clear" w:color="auto" w:fill="FFFFFF"/>
          <w:lang w:val="en-US"/>
        </w:rPr>
        <w:t>ESG</w:t>
      </w:r>
      <w:r w:rsidRPr="004C7EA0">
        <w:rPr>
          <w:rFonts w:ascii="Times New Roman" w:hAnsi="Times New Roman" w:cs="Times New Roman"/>
          <w:color w:val="000000" w:themeColor="text1"/>
          <w:sz w:val="28"/>
          <w:szCs w:val="28"/>
          <w:shd w:val="clear" w:color="auto" w:fill="FFFFFF"/>
        </w:rPr>
        <w:t xml:space="preserve">-рейтингов, отсутствие единообразного подхода к их определению, а также закрепленной специализированной терминологии, которой зачастую оперируют провайдеры такого рода продуктов. </w:t>
      </w:r>
      <w:r w:rsidRPr="004C7EA0">
        <w:rPr>
          <w:rFonts w:ascii="Times New Roman" w:eastAsia="Times New Roman" w:hAnsi="Times New Roman" w:cs="Times New Roman"/>
          <w:color w:val="000000" w:themeColor="text1"/>
          <w:sz w:val="28"/>
          <w:szCs w:val="28"/>
          <w:lang w:eastAsia="ru-RU"/>
        </w:rPr>
        <w:t>Так, выделяются обычно рейтинг</w:t>
      </w:r>
      <w:r w:rsidR="00235980" w:rsidRPr="004C7EA0">
        <w:rPr>
          <w:rFonts w:ascii="Times New Roman" w:eastAsia="Times New Roman" w:hAnsi="Times New Roman" w:cs="Times New Roman"/>
          <w:color w:val="000000" w:themeColor="text1"/>
          <w:sz w:val="28"/>
          <w:szCs w:val="28"/>
          <w:lang w:eastAsia="ru-RU"/>
        </w:rPr>
        <w:t xml:space="preserve">и </w:t>
      </w:r>
      <w:r w:rsidR="00235980" w:rsidRPr="004C7EA0">
        <w:rPr>
          <w:rFonts w:ascii="Times New Roman" w:eastAsia="Times New Roman" w:hAnsi="Times New Roman" w:cs="Times New Roman"/>
          <w:color w:val="000000" w:themeColor="text1"/>
          <w:sz w:val="28"/>
          <w:szCs w:val="28"/>
          <w:lang w:val="en-US" w:eastAsia="ru-RU"/>
        </w:rPr>
        <w:t>ESG</w:t>
      </w:r>
      <w:r w:rsidR="00235980" w:rsidRPr="004C7EA0">
        <w:rPr>
          <w:rFonts w:ascii="Times New Roman" w:eastAsia="Times New Roman" w:hAnsi="Times New Roman" w:cs="Times New Roman"/>
          <w:color w:val="000000" w:themeColor="text1"/>
          <w:sz w:val="28"/>
          <w:szCs w:val="28"/>
          <w:lang w:eastAsia="ru-RU"/>
        </w:rPr>
        <w:t>-рисков</w:t>
      </w:r>
      <w:r w:rsidRPr="004C7EA0">
        <w:rPr>
          <w:rFonts w:ascii="Times New Roman" w:eastAsia="Times New Roman" w:hAnsi="Times New Roman" w:cs="Times New Roman"/>
          <w:color w:val="000000" w:themeColor="text1"/>
          <w:sz w:val="28"/>
          <w:szCs w:val="28"/>
          <w:lang w:eastAsia="ru-RU"/>
        </w:rPr>
        <w:t xml:space="preserve">, </w:t>
      </w:r>
      <w:r w:rsidR="00235980" w:rsidRPr="004C7EA0">
        <w:rPr>
          <w:rFonts w:ascii="Times New Roman" w:eastAsia="Times New Roman" w:hAnsi="Times New Roman" w:cs="Times New Roman"/>
          <w:color w:val="000000" w:themeColor="text1"/>
          <w:sz w:val="28"/>
          <w:szCs w:val="28"/>
          <w:lang w:val="en-US" w:eastAsia="ru-RU"/>
        </w:rPr>
        <w:t>ESG</w:t>
      </w:r>
      <w:r w:rsidR="00235980" w:rsidRPr="004C7EA0">
        <w:rPr>
          <w:rFonts w:ascii="Times New Roman" w:eastAsia="Times New Roman" w:hAnsi="Times New Roman" w:cs="Times New Roman"/>
          <w:color w:val="000000" w:themeColor="text1"/>
          <w:sz w:val="28"/>
          <w:szCs w:val="28"/>
          <w:lang w:eastAsia="ru-RU"/>
        </w:rPr>
        <w:t xml:space="preserve"> </w:t>
      </w:r>
      <w:r w:rsidRPr="004C7EA0">
        <w:rPr>
          <w:rFonts w:ascii="Times New Roman" w:eastAsia="Times New Roman" w:hAnsi="Times New Roman" w:cs="Times New Roman"/>
          <w:color w:val="000000" w:themeColor="text1"/>
          <w:sz w:val="28"/>
          <w:szCs w:val="28"/>
          <w:lang w:eastAsia="ru-RU"/>
        </w:rPr>
        <w:t>рейтинги воздействия и некоторые сопутс</w:t>
      </w:r>
      <w:r w:rsidR="00235980" w:rsidRPr="004C7EA0">
        <w:rPr>
          <w:rFonts w:ascii="Times New Roman" w:eastAsia="Times New Roman" w:hAnsi="Times New Roman" w:cs="Times New Roman"/>
          <w:color w:val="000000" w:themeColor="text1"/>
          <w:sz w:val="28"/>
          <w:szCs w:val="28"/>
          <w:lang w:eastAsia="ru-RU"/>
        </w:rPr>
        <w:t>т</w:t>
      </w:r>
      <w:r w:rsidRPr="004C7EA0">
        <w:rPr>
          <w:rFonts w:ascii="Times New Roman" w:eastAsia="Times New Roman" w:hAnsi="Times New Roman" w:cs="Times New Roman"/>
          <w:color w:val="000000" w:themeColor="text1"/>
          <w:sz w:val="28"/>
          <w:szCs w:val="28"/>
          <w:lang w:eastAsia="ru-RU"/>
        </w:rPr>
        <w:t xml:space="preserve">вующие рейтинги, которые концентрируются на отдельных компонентах </w:t>
      </w:r>
      <w:r w:rsidRPr="004C7EA0">
        <w:rPr>
          <w:rFonts w:ascii="Times New Roman" w:eastAsia="Times New Roman" w:hAnsi="Times New Roman" w:cs="Times New Roman"/>
          <w:color w:val="000000" w:themeColor="text1"/>
          <w:sz w:val="28"/>
          <w:szCs w:val="28"/>
          <w:lang w:val="en-US" w:eastAsia="ru-RU"/>
        </w:rPr>
        <w:t>ESG</w:t>
      </w:r>
      <w:r w:rsidRPr="004C7EA0">
        <w:rPr>
          <w:rFonts w:ascii="Times New Roman" w:eastAsia="Times New Roman" w:hAnsi="Times New Roman" w:cs="Times New Roman"/>
          <w:color w:val="000000" w:themeColor="text1"/>
          <w:sz w:val="28"/>
          <w:szCs w:val="28"/>
          <w:lang w:eastAsia="ru-RU"/>
        </w:rPr>
        <w:t xml:space="preserve"> (например, </w:t>
      </w:r>
      <w:r w:rsidRPr="004C7EA0">
        <w:rPr>
          <w:rFonts w:ascii="Times New Roman" w:eastAsia="Times New Roman" w:hAnsi="Times New Roman" w:cs="Times New Roman"/>
          <w:color w:val="000000" w:themeColor="text1"/>
          <w:sz w:val="28"/>
          <w:szCs w:val="28"/>
          <w:lang w:val="en-US" w:eastAsia="ru-RU"/>
        </w:rPr>
        <w:t>CDP</w:t>
      </w:r>
      <w:r w:rsidR="00235980" w:rsidRPr="004C7EA0">
        <w:rPr>
          <w:rFonts w:ascii="Times New Roman" w:eastAsia="Times New Roman" w:hAnsi="Times New Roman" w:cs="Times New Roman"/>
          <w:color w:val="000000" w:themeColor="text1"/>
          <w:sz w:val="28"/>
          <w:szCs w:val="28"/>
          <w:lang w:eastAsia="ru-RU"/>
        </w:rPr>
        <w:t xml:space="preserve"> на</w:t>
      </w:r>
      <w:r w:rsidRPr="004C7EA0">
        <w:rPr>
          <w:rFonts w:ascii="Times New Roman" w:eastAsia="Times New Roman" w:hAnsi="Times New Roman" w:cs="Times New Roman"/>
          <w:color w:val="000000" w:themeColor="text1"/>
          <w:sz w:val="28"/>
          <w:szCs w:val="28"/>
          <w:lang w:eastAsia="ru-RU"/>
        </w:rPr>
        <w:t xml:space="preserve"> </w:t>
      </w:r>
      <w:r w:rsidRPr="004C7EA0">
        <w:rPr>
          <w:rFonts w:ascii="Times New Roman" w:eastAsia="Times New Roman" w:hAnsi="Times New Roman" w:cs="Times New Roman"/>
          <w:color w:val="000000" w:themeColor="text1"/>
          <w:sz w:val="28"/>
          <w:szCs w:val="28"/>
          <w:lang w:val="en-US" w:eastAsia="ru-RU"/>
        </w:rPr>
        <w:t>E</w:t>
      </w:r>
      <w:r w:rsidRPr="004C7EA0">
        <w:rPr>
          <w:rFonts w:ascii="Times New Roman" w:eastAsia="Times New Roman" w:hAnsi="Times New Roman" w:cs="Times New Roman"/>
          <w:color w:val="000000" w:themeColor="text1"/>
          <w:sz w:val="28"/>
          <w:szCs w:val="28"/>
          <w:lang w:eastAsia="ru-RU"/>
        </w:rPr>
        <w:t>-</w:t>
      </w:r>
      <w:r w:rsidR="00235980" w:rsidRPr="004C7EA0">
        <w:rPr>
          <w:rFonts w:ascii="Times New Roman" w:eastAsia="Times New Roman" w:hAnsi="Times New Roman" w:cs="Times New Roman"/>
          <w:color w:val="000000" w:themeColor="text1"/>
          <w:sz w:val="28"/>
          <w:szCs w:val="28"/>
          <w:lang w:eastAsia="ru-RU"/>
        </w:rPr>
        <w:t>компоненте</w:t>
      </w:r>
      <w:r w:rsidRPr="004C7EA0">
        <w:rPr>
          <w:rFonts w:ascii="Times New Roman" w:eastAsia="Times New Roman" w:hAnsi="Times New Roman" w:cs="Times New Roman"/>
          <w:color w:val="000000" w:themeColor="text1"/>
          <w:sz w:val="28"/>
          <w:szCs w:val="28"/>
          <w:lang w:eastAsia="ru-RU"/>
        </w:rPr>
        <w:t>), отдельных</w:t>
      </w:r>
      <w:r w:rsidR="00235980" w:rsidRPr="004C7EA0">
        <w:rPr>
          <w:rFonts w:ascii="Times New Roman" w:eastAsia="Times New Roman" w:hAnsi="Times New Roman" w:cs="Times New Roman"/>
          <w:color w:val="000000" w:themeColor="text1"/>
          <w:sz w:val="28"/>
          <w:szCs w:val="28"/>
          <w:lang w:eastAsia="ru-RU"/>
        </w:rPr>
        <w:t xml:space="preserve"> </w:t>
      </w:r>
      <w:r w:rsidR="00235980" w:rsidRPr="004C7EA0">
        <w:rPr>
          <w:rFonts w:ascii="Times New Roman" w:eastAsia="Times New Roman" w:hAnsi="Times New Roman" w:cs="Times New Roman"/>
          <w:color w:val="000000" w:themeColor="text1"/>
          <w:sz w:val="28"/>
          <w:szCs w:val="28"/>
          <w:lang w:eastAsia="ru-RU"/>
        </w:rPr>
        <w:lastRenderedPageBreak/>
        <w:t>аспектах в рамках одной из трех компонент (например,</w:t>
      </w:r>
      <w:r w:rsidR="00235980" w:rsidRPr="004C7EA0">
        <w:rPr>
          <w:rFonts w:ascii="Times New Roman" w:hAnsi="Times New Roman" w:cs="Times New Roman"/>
          <w:color w:val="000000" w:themeColor="text1"/>
          <w:sz w:val="28"/>
          <w:szCs w:val="28"/>
        </w:rPr>
        <w:t xml:space="preserve"> рейтинги углеродного риска), хотя они не должны называться рейтингами </w:t>
      </w:r>
      <w:r w:rsidR="00235980" w:rsidRPr="004C7EA0">
        <w:rPr>
          <w:rFonts w:ascii="Times New Roman" w:hAnsi="Times New Roman" w:cs="Times New Roman"/>
          <w:color w:val="000000" w:themeColor="text1"/>
          <w:sz w:val="28"/>
          <w:szCs w:val="28"/>
          <w:lang w:val="en-US"/>
        </w:rPr>
        <w:t>ESG</w:t>
      </w:r>
      <w:r w:rsidR="00E83032" w:rsidRPr="004C7EA0">
        <w:rPr>
          <w:rFonts w:ascii="Times New Roman" w:hAnsi="Times New Roman" w:cs="Times New Roman"/>
          <w:color w:val="000000" w:themeColor="text1"/>
          <w:sz w:val="28"/>
          <w:szCs w:val="28"/>
        </w:rPr>
        <w:t>.</w:t>
      </w:r>
    </w:p>
    <w:p w14:paraId="681AE83A" w14:textId="77777777" w:rsidR="008C2C46" w:rsidRPr="004C7EA0" w:rsidRDefault="008C2C46" w:rsidP="00F90684">
      <w:pPr>
        <w:spacing w:after="0" w:line="24" w:lineRule="atLeast"/>
        <w:ind w:firstLine="709"/>
        <w:contextualSpacing/>
        <w:jc w:val="both"/>
        <w:rPr>
          <w:rFonts w:ascii="Times New Roman" w:eastAsia="Times New Roman" w:hAnsi="Times New Roman" w:cs="Times New Roman"/>
          <w:color w:val="000000" w:themeColor="text1"/>
          <w:sz w:val="28"/>
          <w:szCs w:val="28"/>
          <w:lang w:eastAsia="ru-RU"/>
        </w:rPr>
      </w:pPr>
      <w:r w:rsidRPr="004C7EA0">
        <w:rPr>
          <w:rFonts w:ascii="Times New Roman" w:hAnsi="Times New Roman" w:cs="Times New Roman"/>
          <w:color w:val="000000" w:themeColor="text1"/>
          <w:sz w:val="28"/>
          <w:szCs w:val="28"/>
          <w:shd w:val="clear" w:color="auto" w:fill="FFFFFF"/>
        </w:rPr>
        <w:t xml:space="preserve">Также выделяется проблема </w:t>
      </w:r>
      <w:r w:rsidRPr="004C7EA0">
        <w:rPr>
          <w:rStyle w:val="quoteinbody-quotenamecontainer"/>
          <w:rFonts w:ascii="Times New Roman" w:hAnsi="Times New Roman" w:cs="Times New Roman"/>
          <w:color w:val="000000" w:themeColor="text1"/>
          <w:sz w:val="28"/>
          <w:szCs w:val="28"/>
        </w:rPr>
        <w:t xml:space="preserve">использования поставщиками </w:t>
      </w:r>
      <w:r w:rsidRPr="004C7EA0">
        <w:rPr>
          <w:rStyle w:val="quoteinbody-quotenamecontainer"/>
          <w:rFonts w:ascii="Times New Roman" w:hAnsi="Times New Roman" w:cs="Times New Roman"/>
          <w:color w:val="000000" w:themeColor="text1"/>
          <w:sz w:val="28"/>
          <w:szCs w:val="28"/>
          <w:lang w:val="en-US"/>
        </w:rPr>
        <w:t>ESG</w:t>
      </w:r>
      <w:r w:rsidRPr="004C7EA0">
        <w:rPr>
          <w:rStyle w:val="quoteinbody-quotenamecontainer"/>
          <w:rFonts w:ascii="Times New Roman" w:hAnsi="Times New Roman" w:cs="Times New Roman"/>
          <w:color w:val="000000" w:themeColor="text1"/>
          <w:sz w:val="28"/>
          <w:szCs w:val="28"/>
        </w:rPr>
        <w:t>-рейтингов разных методологий, включая методики подсчета,</w:t>
      </w:r>
      <w:r w:rsidR="00E83032" w:rsidRPr="004C7EA0">
        <w:rPr>
          <w:rStyle w:val="quoteinbody-quotenamecontainer"/>
          <w:rFonts w:ascii="Times New Roman" w:hAnsi="Times New Roman" w:cs="Times New Roman"/>
          <w:color w:val="000000" w:themeColor="text1"/>
          <w:sz w:val="28"/>
          <w:szCs w:val="28"/>
        </w:rPr>
        <w:t xml:space="preserve"> нормирования данных,</w:t>
      </w:r>
      <w:r w:rsidRPr="004C7EA0">
        <w:rPr>
          <w:rStyle w:val="quoteinbody-quotenamecontainer"/>
          <w:rFonts w:ascii="Times New Roman" w:hAnsi="Times New Roman" w:cs="Times New Roman"/>
          <w:color w:val="000000" w:themeColor="text1"/>
          <w:sz w:val="28"/>
          <w:szCs w:val="28"/>
        </w:rPr>
        <w:t xml:space="preserve"> </w:t>
      </w:r>
      <w:r w:rsidR="00E83032" w:rsidRPr="004C7EA0">
        <w:rPr>
          <w:rStyle w:val="quoteinbody-quotenamecontainer"/>
          <w:rFonts w:ascii="Times New Roman" w:hAnsi="Times New Roman" w:cs="Times New Roman"/>
          <w:color w:val="000000" w:themeColor="text1"/>
          <w:sz w:val="28"/>
          <w:szCs w:val="28"/>
        </w:rPr>
        <w:t xml:space="preserve">категории оценки, рейтинговые шкалы, источники информации, </w:t>
      </w:r>
      <w:r w:rsidRPr="004C7EA0">
        <w:rPr>
          <w:rStyle w:val="quoteinbody-quotenamecontainer"/>
          <w:rFonts w:ascii="Times New Roman" w:hAnsi="Times New Roman" w:cs="Times New Roman"/>
          <w:color w:val="000000" w:themeColor="text1"/>
          <w:sz w:val="28"/>
          <w:szCs w:val="28"/>
        </w:rPr>
        <w:t xml:space="preserve">что приводит к тому, что одна и та же компания может получить полярные оценки от разных агентств. Так, </w:t>
      </w:r>
      <w:r w:rsidRPr="004C7EA0">
        <w:rPr>
          <w:rFonts w:ascii="Times New Roman" w:hAnsi="Times New Roman" w:cs="Times New Roman"/>
          <w:color w:val="000000" w:themeColor="text1"/>
          <w:sz w:val="28"/>
          <w:szCs w:val="28"/>
          <w:shd w:val="clear" w:color="auto" w:fill="FFFFFF"/>
        </w:rPr>
        <w:t>недавнее исследование Европейской финансовой ассоциации, опубликованное в журнале </w:t>
      </w:r>
      <w:r w:rsidRPr="004C7EA0">
        <w:rPr>
          <w:rFonts w:ascii="Times New Roman" w:hAnsi="Times New Roman" w:cs="Times New Roman"/>
          <w:i/>
          <w:color w:val="000000" w:themeColor="text1"/>
          <w:sz w:val="28"/>
          <w:szCs w:val="28"/>
          <w:shd w:val="clear" w:color="auto" w:fill="FFFFFF"/>
        </w:rPr>
        <w:t>«</w:t>
      </w:r>
      <w:proofErr w:type="spellStart"/>
      <w:r w:rsidRPr="004C7EA0">
        <w:rPr>
          <w:rStyle w:val="Emphasis"/>
          <w:rFonts w:ascii="Times New Roman" w:hAnsi="Times New Roman" w:cs="Times New Roman"/>
          <w:color w:val="000000" w:themeColor="text1"/>
          <w:sz w:val="28"/>
          <w:szCs w:val="28"/>
          <w:shd w:val="clear" w:color="auto" w:fill="FFFFFF"/>
        </w:rPr>
        <w:t>Review</w:t>
      </w:r>
      <w:proofErr w:type="spellEnd"/>
      <w:r w:rsidR="00C17924" w:rsidRPr="004C7EA0">
        <w:rPr>
          <w:rStyle w:val="Emphasis"/>
          <w:rFonts w:ascii="Times New Roman" w:hAnsi="Times New Roman" w:cs="Times New Roman"/>
          <w:color w:val="000000" w:themeColor="text1"/>
          <w:sz w:val="28"/>
          <w:szCs w:val="28"/>
          <w:shd w:val="clear" w:color="auto" w:fill="FFFFFF"/>
        </w:rPr>
        <w:t xml:space="preserve"> </w:t>
      </w:r>
      <w:proofErr w:type="spellStart"/>
      <w:r w:rsidRPr="004C7EA0">
        <w:rPr>
          <w:rStyle w:val="Emphasis"/>
          <w:rFonts w:ascii="Times New Roman" w:hAnsi="Times New Roman" w:cs="Times New Roman"/>
          <w:color w:val="000000" w:themeColor="text1"/>
          <w:sz w:val="28"/>
          <w:szCs w:val="28"/>
          <w:shd w:val="clear" w:color="auto" w:fill="FFFFFF"/>
        </w:rPr>
        <w:t>of</w:t>
      </w:r>
      <w:proofErr w:type="spellEnd"/>
      <w:r w:rsidR="00C17924" w:rsidRPr="004C7EA0">
        <w:rPr>
          <w:rStyle w:val="Emphasis"/>
          <w:rFonts w:ascii="Times New Roman" w:hAnsi="Times New Roman" w:cs="Times New Roman"/>
          <w:color w:val="000000" w:themeColor="text1"/>
          <w:sz w:val="28"/>
          <w:szCs w:val="28"/>
          <w:shd w:val="clear" w:color="auto" w:fill="FFFFFF"/>
        </w:rPr>
        <w:t xml:space="preserve"> </w:t>
      </w:r>
      <w:proofErr w:type="spellStart"/>
      <w:r w:rsidRPr="004C7EA0">
        <w:rPr>
          <w:rStyle w:val="Emphasis"/>
          <w:rFonts w:ascii="Times New Roman" w:hAnsi="Times New Roman" w:cs="Times New Roman"/>
          <w:color w:val="000000" w:themeColor="text1"/>
          <w:sz w:val="28"/>
          <w:szCs w:val="28"/>
          <w:shd w:val="clear" w:color="auto" w:fill="FFFFFF"/>
        </w:rPr>
        <w:t>Finance</w:t>
      </w:r>
      <w:proofErr w:type="spellEnd"/>
      <w:r w:rsidRPr="004C7EA0">
        <w:rPr>
          <w:rStyle w:val="Emphasis"/>
          <w:rFonts w:ascii="Times New Roman" w:hAnsi="Times New Roman" w:cs="Times New Roman"/>
          <w:color w:val="000000" w:themeColor="text1"/>
          <w:sz w:val="28"/>
          <w:szCs w:val="28"/>
          <w:shd w:val="clear" w:color="auto" w:fill="FFFFFF"/>
        </w:rPr>
        <w:t>»</w:t>
      </w:r>
      <w:r w:rsidRPr="004C7EA0">
        <w:rPr>
          <w:rFonts w:ascii="Times New Roman" w:hAnsi="Times New Roman" w:cs="Times New Roman"/>
          <w:color w:val="000000" w:themeColor="text1"/>
          <w:sz w:val="28"/>
          <w:szCs w:val="28"/>
          <w:shd w:val="clear" w:color="auto" w:fill="FFFFFF"/>
        </w:rPr>
        <w:t xml:space="preserve">, указывает на то, что ESG рейтинги, выпущенные шестью различными рейтинговыми агентствами: KLD, </w:t>
      </w:r>
      <w:proofErr w:type="spellStart"/>
      <w:r w:rsidRPr="004C7EA0">
        <w:rPr>
          <w:rFonts w:ascii="Times New Roman" w:hAnsi="Times New Roman" w:cs="Times New Roman"/>
          <w:color w:val="000000" w:themeColor="text1"/>
          <w:sz w:val="28"/>
          <w:szCs w:val="28"/>
          <w:shd w:val="clear" w:color="auto" w:fill="FFFFFF"/>
        </w:rPr>
        <w:t>Sustainalytics</w:t>
      </w:r>
      <w:proofErr w:type="spellEnd"/>
      <w:r w:rsidRPr="004C7EA0">
        <w:rPr>
          <w:rFonts w:ascii="Times New Roman" w:hAnsi="Times New Roman" w:cs="Times New Roman"/>
          <w:color w:val="000000" w:themeColor="text1"/>
          <w:sz w:val="28"/>
          <w:szCs w:val="28"/>
          <w:shd w:val="clear" w:color="auto" w:fill="FFFFFF"/>
        </w:rPr>
        <w:t xml:space="preserve">, </w:t>
      </w:r>
      <w:proofErr w:type="spellStart"/>
      <w:r w:rsidRPr="004C7EA0">
        <w:rPr>
          <w:rFonts w:ascii="Times New Roman" w:hAnsi="Times New Roman" w:cs="Times New Roman"/>
          <w:color w:val="000000" w:themeColor="text1"/>
          <w:sz w:val="28"/>
          <w:szCs w:val="28"/>
          <w:shd w:val="clear" w:color="auto" w:fill="FFFFFF"/>
        </w:rPr>
        <w:t>Moody’s</w:t>
      </w:r>
      <w:proofErr w:type="spellEnd"/>
      <w:r w:rsidRPr="004C7EA0">
        <w:rPr>
          <w:rFonts w:ascii="Times New Roman" w:hAnsi="Times New Roman" w:cs="Times New Roman"/>
          <w:color w:val="000000" w:themeColor="text1"/>
          <w:sz w:val="28"/>
          <w:szCs w:val="28"/>
          <w:shd w:val="clear" w:color="auto" w:fill="FFFFFF"/>
        </w:rPr>
        <w:t xml:space="preserve"> ESG (ранее </w:t>
      </w:r>
      <w:proofErr w:type="spellStart"/>
      <w:r w:rsidRPr="004C7EA0">
        <w:rPr>
          <w:rFonts w:ascii="Times New Roman" w:hAnsi="Times New Roman" w:cs="Times New Roman"/>
          <w:color w:val="000000" w:themeColor="text1"/>
          <w:sz w:val="28"/>
          <w:szCs w:val="28"/>
          <w:shd w:val="clear" w:color="auto" w:fill="FFFFFF"/>
        </w:rPr>
        <w:t>Vigeo-Eiris</w:t>
      </w:r>
      <w:proofErr w:type="spellEnd"/>
      <w:r w:rsidRPr="004C7EA0">
        <w:rPr>
          <w:rFonts w:ascii="Times New Roman" w:hAnsi="Times New Roman" w:cs="Times New Roman"/>
          <w:color w:val="000000" w:themeColor="text1"/>
          <w:sz w:val="28"/>
          <w:szCs w:val="28"/>
          <w:shd w:val="clear" w:color="auto" w:fill="FFFFFF"/>
        </w:rPr>
        <w:t xml:space="preserve">), S&amp;P </w:t>
      </w:r>
      <w:proofErr w:type="spellStart"/>
      <w:r w:rsidRPr="004C7EA0">
        <w:rPr>
          <w:rFonts w:ascii="Times New Roman" w:hAnsi="Times New Roman" w:cs="Times New Roman"/>
          <w:color w:val="000000" w:themeColor="text1"/>
          <w:sz w:val="28"/>
          <w:szCs w:val="28"/>
          <w:shd w:val="clear" w:color="auto" w:fill="FFFFFF"/>
        </w:rPr>
        <w:t>Global</w:t>
      </w:r>
      <w:proofErr w:type="spellEnd"/>
      <w:r w:rsidRPr="004C7EA0">
        <w:rPr>
          <w:rFonts w:ascii="Times New Roman" w:hAnsi="Times New Roman" w:cs="Times New Roman"/>
          <w:color w:val="000000" w:themeColor="text1"/>
          <w:sz w:val="28"/>
          <w:szCs w:val="28"/>
          <w:shd w:val="clear" w:color="auto" w:fill="FFFFFF"/>
        </w:rPr>
        <w:t xml:space="preserve"> (ранее </w:t>
      </w:r>
      <w:proofErr w:type="spellStart"/>
      <w:r w:rsidRPr="004C7EA0">
        <w:rPr>
          <w:rFonts w:ascii="Times New Roman" w:hAnsi="Times New Roman" w:cs="Times New Roman"/>
          <w:color w:val="000000" w:themeColor="text1"/>
          <w:sz w:val="28"/>
          <w:szCs w:val="28"/>
          <w:shd w:val="clear" w:color="auto" w:fill="FFFFFF"/>
        </w:rPr>
        <w:t>RobecoSAM</w:t>
      </w:r>
      <w:proofErr w:type="spellEnd"/>
      <w:r w:rsidRPr="004C7EA0">
        <w:rPr>
          <w:rFonts w:ascii="Times New Roman" w:hAnsi="Times New Roman" w:cs="Times New Roman"/>
          <w:color w:val="000000" w:themeColor="text1"/>
          <w:sz w:val="28"/>
          <w:szCs w:val="28"/>
          <w:shd w:val="clear" w:color="auto" w:fill="FFFFFF"/>
        </w:rPr>
        <w:t xml:space="preserve">), </w:t>
      </w:r>
      <w:proofErr w:type="spellStart"/>
      <w:r w:rsidRPr="004C7EA0">
        <w:rPr>
          <w:rFonts w:ascii="Times New Roman" w:hAnsi="Times New Roman" w:cs="Times New Roman"/>
          <w:color w:val="000000" w:themeColor="text1"/>
          <w:sz w:val="28"/>
          <w:szCs w:val="28"/>
          <w:shd w:val="clear" w:color="auto" w:fill="FFFFFF"/>
        </w:rPr>
        <w:t>Refinitiv</w:t>
      </w:r>
      <w:proofErr w:type="spellEnd"/>
      <w:r w:rsidRPr="004C7EA0">
        <w:rPr>
          <w:rFonts w:ascii="Times New Roman" w:hAnsi="Times New Roman" w:cs="Times New Roman"/>
          <w:color w:val="000000" w:themeColor="text1"/>
          <w:sz w:val="28"/>
          <w:szCs w:val="28"/>
          <w:shd w:val="clear" w:color="auto" w:fill="FFFFFF"/>
        </w:rPr>
        <w:t xml:space="preserve"> (ранее Asset4) и MSCI</w:t>
      </w:r>
      <w:r w:rsidR="00E83032" w:rsidRPr="004C7EA0">
        <w:rPr>
          <w:rFonts w:ascii="Times New Roman" w:hAnsi="Times New Roman" w:cs="Times New Roman"/>
          <w:color w:val="000000" w:themeColor="text1"/>
          <w:sz w:val="28"/>
          <w:szCs w:val="28"/>
          <w:shd w:val="clear" w:color="auto" w:fill="FFFFFF"/>
        </w:rPr>
        <w:t xml:space="preserve"> имеют корреляцию в среднем 0,54</w:t>
      </w:r>
      <w:r w:rsidR="00C17924" w:rsidRPr="004C7EA0">
        <w:rPr>
          <w:rFonts w:ascii="Times New Roman" w:hAnsi="Times New Roman" w:cs="Times New Roman"/>
          <w:color w:val="000000" w:themeColor="text1"/>
          <w:sz w:val="28"/>
          <w:szCs w:val="28"/>
          <w:shd w:val="clear" w:color="auto" w:fill="FFFFFF"/>
        </w:rPr>
        <w:t>, при</w:t>
      </w:r>
      <w:r w:rsidR="00E83032" w:rsidRPr="004C7EA0">
        <w:rPr>
          <w:rFonts w:ascii="Times New Roman" w:hAnsi="Times New Roman" w:cs="Times New Roman"/>
          <w:color w:val="000000" w:themeColor="text1"/>
          <w:sz w:val="28"/>
          <w:szCs w:val="28"/>
          <w:shd w:val="clear" w:color="auto" w:fill="FFFFFF"/>
        </w:rPr>
        <w:t>том, что предпочтительными являются значения от 0,8.</w:t>
      </w:r>
      <w:r w:rsidR="00C17924" w:rsidRPr="004C7EA0">
        <w:rPr>
          <w:rStyle w:val="FootnoteReference"/>
          <w:rFonts w:ascii="Times New Roman" w:hAnsi="Times New Roman" w:cs="Times New Roman"/>
          <w:color w:val="000000" w:themeColor="text1"/>
          <w:sz w:val="28"/>
          <w:szCs w:val="28"/>
          <w:shd w:val="clear" w:color="auto" w:fill="FFFFFF"/>
        </w:rPr>
        <w:footnoteReference w:id="3"/>
      </w:r>
      <w:r w:rsidR="00E83032" w:rsidRPr="004C7EA0">
        <w:rPr>
          <w:rFonts w:ascii="Times New Roman" w:hAnsi="Times New Roman" w:cs="Times New Roman"/>
          <w:color w:val="000000" w:themeColor="text1"/>
          <w:sz w:val="28"/>
          <w:szCs w:val="28"/>
          <w:shd w:val="clear" w:color="auto" w:fill="FFFFFF"/>
        </w:rPr>
        <w:t xml:space="preserve"> </w:t>
      </w:r>
      <w:r w:rsidRPr="004C7EA0">
        <w:rPr>
          <w:rFonts w:ascii="Times New Roman" w:hAnsi="Times New Roman" w:cs="Times New Roman"/>
          <w:color w:val="000000" w:themeColor="text1"/>
          <w:sz w:val="28"/>
          <w:szCs w:val="28"/>
          <w:shd w:val="clear" w:color="auto" w:fill="FFFFFF"/>
        </w:rPr>
        <w:t>При этом как таковой проблемы в существовании различных методологий нет.</w:t>
      </w:r>
      <w:r w:rsidRPr="004C7EA0">
        <w:rPr>
          <w:rStyle w:val="quoteinbody-quotenamecontainer"/>
          <w:rFonts w:ascii="Times New Roman" w:hAnsi="Times New Roman" w:cs="Times New Roman"/>
          <w:color w:val="000000" w:themeColor="text1"/>
          <w:sz w:val="28"/>
          <w:szCs w:val="28"/>
        </w:rPr>
        <w:t xml:space="preserve"> </w:t>
      </w:r>
      <w:r w:rsidRPr="004C7EA0">
        <w:rPr>
          <w:rFonts w:ascii="Times New Roman" w:hAnsi="Times New Roman" w:cs="Times New Roman"/>
          <w:color w:val="000000" w:themeColor="text1"/>
          <w:sz w:val="28"/>
          <w:szCs w:val="28"/>
          <w:shd w:val="clear" w:color="auto" w:fill="FFFFFF"/>
        </w:rPr>
        <w:t xml:space="preserve">Однако очевидный недостаток данной практики заключается в том, что </w:t>
      </w:r>
      <w:r w:rsidRPr="004C7EA0">
        <w:rPr>
          <w:rFonts w:ascii="Times New Roman" w:eastAsia="Times New Roman" w:hAnsi="Times New Roman" w:cs="Times New Roman"/>
          <w:color w:val="000000" w:themeColor="text1"/>
          <w:sz w:val="28"/>
          <w:szCs w:val="28"/>
          <w:lang w:eastAsia="ru-RU"/>
        </w:rPr>
        <w:t xml:space="preserve">рейтингам ESG часто не хватает прозрачности в отношении того, в какой степени они измеряют текущие и перспективные факторы, связанные с ESG, как рассчитываются рейтинги, и какие показатели они используют при их построении и нормировании данных. При этом ограниченная прозрачность подрывает интерпретируемость методологий. Соответственно, доверять таким рейтингам нужно с должной степенью осторожности и осмотрительности. </w:t>
      </w:r>
      <w:r w:rsidR="00C17924" w:rsidRPr="004C7EA0">
        <w:rPr>
          <w:rFonts w:ascii="Times New Roman" w:eastAsia="Times New Roman" w:hAnsi="Times New Roman" w:cs="Times New Roman"/>
          <w:color w:val="000000" w:themeColor="text1"/>
          <w:sz w:val="28"/>
          <w:szCs w:val="28"/>
          <w:lang w:eastAsia="ru-RU"/>
        </w:rPr>
        <w:t>Р</w:t>
      </w:r>
      <w:r w:rsidR="00E83032" w:rsidRPr="004C7EA0">
        <w:rPr>
          <w:rFonts w:ascii="Times New Roman" w:eastAsia="Times New Roman" w:hAnsi="Times New Roman" w:cs="Times New Roman"/>
          <w:color w:val="000000" w:themeColor="text1"/>
          <w:sz w:val="28"/>
          <w:szCs w:val="28"/>
          <w:lang w:eastAsia="ru-RU"/>
        </w:rPr>
        <w:t>азница в оце</w:t>
      </w:r>
      <w:r w:rsidR="00485711" w:rsidRPr="004C7EA0">
        <w:rPr>
          <w:rFonts w:ascii="Times New Roman" w:eastAsia="Times New Roman" w:hAnsi="Times New Roman" w:cs="Times New Roman"/>
          <w:color w:val="000000" w:themeColor="text1"/>
          <w:sz w:val="28"/>
          <w:szCs w:val="28"/>
          <w:lang w:eastAsia="ru-RU"/>
        </w:rPr>
        <w:t>нках</w:t>
      </w:r>
      <w:r w:rsidR="00E83032" w:rsidRPr="004C7EA0">
        <w:rPr>
          <w:rFonts w:ascii="Times New Roman" w:eastAsia="Times New Roman" w:hAnsi="Times New Roman" w:cs="Times New Roman"/>
          <w:color w:val="000000" w:themeColor="text1"/>
          <w:sz w:val="28"/>
          <w:szCs w:val="28"/>
          <w:lang w:eastAsia="ru-RU"/>
        </w:rPr>
        <w:t xml:space="preserve"> связана также с каче</w:t>
      </w:r>
      <w:r w:rsidR="00485711" w:rsidRPr="004C7EA0">
        <w:rPr>
          <w:rFonts w:ascii="Times New Roman" w:eastAsia="Times New Roman" w:hAnsi="Times New Roman" w:cs="Times New Roman"/>
          <w:color w:val="000000" w:themeColor="text1"/>
          <w:sz w:val="28"/>
          <w:szCs w:val="28"/>
          <w:lang w:eastAsia="ru-RU"/>
        </w:rPr>
        <w:t>ством</w:t>
      </w:r>
      <w:r w:rsidR="00E83032" w:rsidRPr="004C7EA0">
        <w:rPr>
          <w:rFonts w:ascii="Times New Roman" w:eastAsia="Times New Roman" w:hAnsi="Times New Roman" w:cs="Times New Roman"/>
          <w:color w:val="000000" w:themeColor="text1"/>
          <w:sz w:val="28"/>
          <w:szCs w:val="28"/>
          <w:lang w:eastAsia="ru-RU"/>
        </w:rPr>
        <w:t xml:space="preserve"> данных, используемых при расчетах</w:t>
      </w:r>
      <w:r w:rsidR="00485711" w:rsidRPr="004C7EA0">
        <w:rPr>
          <w:rFonts w:ascii="Times New Roman" w:eastAsia="Times New Roman" w:hAnsi="Times New Roman" w:cs="Times New Roman"/>
          <w:color w:val="000000" w:themeColor="text1"/>
          <w:sz w:val="28"/>
          <w:szCs w:val="28"/>
          <w:lang w:eastAsia="ru-RU"/>
        </w:rPr>
        <w:t xml:space="preserve">, </w:t>
      </w:r>
      <w:r w:rsidR="00E83032" w:rsidRPr="004C7EA0">
        <w:rPr>
          <w:rFonts w:ascii="Times New Roman" w:eastAsia="Times New Roman" w:hAnsi="Times New Roman" w:cs="Times New Roman"/>
          <w:color w:val="000000" w:themeColor="text1"/>
          <w:sz w:val="28"/>
          <w:szCs w:val="28"/>
          <w:lang w:eastAsia="ru-RU"/>
        </w:rPr>
        <w:t>так как в связи с ограниченной согласованностью</w:t>
      </w:r>
      <w:r w:rsidRPr="004C7EA0">
        <w:rPr>
          <w:rFonts w:ascii="Times New Roman" w:eastAsia="Times New Roman" w:hAnsi="Times New Roman" w:cs="Times New Roman"/>
          <w:color w:val="000000" w:themeColor="text1"/>
          <w:sz w:val="28"/>
          <w:szCs w:val="28"/>
          <w:lang w:eastAsia="ru-RU"/>
        </w:rPr>
        <w:t xml:space="preserve"> в требу</w:t>
      </w:r>
      <w:r w:rsidRPr="004C7EA0">
        <w:rPr>
          <w:rFonts w:ascii="Times New Roman" w:hAnsi="Times New Roman" w:cs="Times New Roman"/>
          <w:color w:val="000000" w:themeColor="text1"/>
          <w:sz w:val="28"/>
          <w:szCs w:val="28"/>
        </w:rPr>
        <w:t>емом раскрытии информации</w:t>
      </w:r>
      <w:r w:rsidR="00E83032" w:rsidRPr="004C7EA0">
        <w:rPr>
          <w:rFonts w:ascii="Times New Roman" w:hAnsi="Times New Roman" w:cs="Times New Roman"/>
          <w:color w:val="000000" w:themeColor="text1"/>
          <w:sz w:val="28"/>
          <w:szCs w:val="28"/>
        </w:rPr>
        <w:t xml:space="preserve"> среди компаний</w:t>
      </w:r>
      <w:r w:rsidRPr="004C7EA0">
        <w:rPr>
          <w:rFonts w:ascii="Times New Roman" w:hAnsi="Times New Roman" w:cs="Times New Roman"/>
          <w:color w:val="000000" w:themeColor="text1"/>
          <w:sz w:val="28"/>
          <w:szCs w:val="28"/>
        </w:rPr>
        <w:t xml:space="preserve">, и </w:t>
      </w:r>
      <w:r w:rsidR="00E83032" w:rsidRPr="004C7EA0">
        <w:rPr>
          <w:rFonts w:ascii="Times New Roman" w:hAnsi="Times New Roman" w:cs="Times New Roman"/>
          <w:color w:val="000000" w:themeColor="text1"/>
          <w:sz w:val="28"/>
          <w:szCs w:val="28"/>
        </w:rPr>
        <w:t xml:space="preserve">тем фактом, что </w:t>
      </w:r>
      <w:r w:rsidRPr="004C7EA0">
        <w:rPr>
          <w:rFonts w:ascii="Times New Roman" w:eastAsia="Times New Roman" w:hAnsi="Times New Roman" w:cs="Times New Roman"/>
          <w:color w:val="000000" w:themeColor="text1"/>
          <w:sz w:val="28"/>
          <w:szCs w:val="28"/>
          <w:lang w:eastAsia="ru-RU"/>
        </w:rPr>
        <w:t xml:space="preserve">внедрение </w:t>
      </w:r>
      <w:r w:rsidRPr="004C7EA0">
        <w:rPr>
          <w:rFonts w:ascii="Times New Roman" w:hAnsi="Times New Roman" w:cs="Times New Roman"/>
          <w:color w:val="000000" w:themeColor="text1"/>
          <w:sz w:val="28"/>
          <w:szCs w:val="28"/>
        </w:rPr>
        <w:t xml:space="preserve">самой отчетности </w:t>
      </w:r>
      <w:r w:rsidRPr="004C7EA0">
        <w:rPr>
          <w:rFonts w:ascii="Times New Roman" w:eastAsia="Times New Roman" w:hAnsi="Times New Roman" w:cs="Times New Roman"/>
          <w:color w:val="000000" w:themeColor="text1"/>
          <w:sz w:val="28"/>
          <w:szCs w:val="28"/>
          <w:lang w:eastAsia="ru-RU"/>
        </w:rPr>
        <w:t xml:space="preserve">все еще находится на довольно ранней </w:t>
      </w:r>
      <w:r w:rsidR="00E83032" w:rsidRPr="004C7EA0">
        <w:rPr>
          <w:rFonts w:ascii="Times New Roman" w:eastAsia="Times New Roman" w:hAnsi="Times New Roman" w:cs="Times New Roman"/>
          <w:color w:val="000000" w:themeColor="text1"/>
          <w:sz w:val="28"/>
          <w:szCs w:val="28"/>
          <w:lang w:eastAsia="ru-RU"/>
        </w:rPr>
        <w:t xml:space="preserve">стадии в большинстве юрисдикций, провайдерам приходится прибегать либо к информации, полученной </w:t>
      </w:r>
      <w:r w:rsidRPr="004C7EA0">
        <w:rPr>
          <w:rFonts w:ascii="Times New Roman" w:eastAsia="Times New Roman" w:hAnsi="Times New Roman" w:cs="Times New Roman"/>
          <w:color w:val="000000" w:themeColor="text1"/>
          <w:sz w:val="28"/>
          <w:szCs w:val="28"/>
          <w:lang w:eastAsia="ru-RU"/>
        </w:rPr>
        <w:t>от внешн</w:t>
      </w:r>
      <w:r w:rsidR="00485711" w:rsidRPr="004C7EA0">
        <w:rPr>
          <w:rFonts w:ascii="Times New Roman" w:eastAsia="Times New Roman" w:hAnsi="Times New Roman" w:cs="Times New Roman"/>
          <w:color w:val="000000" w:themeColor="text1"/>
          <w:sz w:val="28"/>
          <w:szCs w:val="28"/>
          <w:lang w:eastAsia="ru-RU"/>
        </w:rPr>
        <w:t xml:space="preserve">их организаций и третьих сторон, </w:t>
      </w:r>
      <w:r w:rsidRPr="004C7EA0">
        <w:rPr>
          <w:rFonts w:ascii="Times New Roman" w:eastAsia="Times New Roman" w:hAnsi="Times New Roman" w:cs="Times New Roman"/>
          <w:color w:val="000000" w:themeColor="text1"/>
          <w:sz w:val="28"/>
          <w:szCs w:val="28"/>
          <w:lang w:eastAsia="ru-RU"/>
        </w:rPr>
        <w:t>или</w:t>
      </w:r>
      <w:r w:rsidR="00E83032" w:rsidRPr="004C7EA0">
        <w:rPr>
          <w:rFonts w:ascii="Times New Roman" w:eastAsia="Times New Roman" w:hAnsi="Times New Roman" w:cs="Times New Roman"/>
          <w:color w:val="000000" w:themeColor="text1"/>
          <w:sz w:val="28"/>
          <w:szCs w:val="28"/>
          <w:lang w:eastAsia="ru-RU"/>
        </w:rPr>
        <w:t xml:space="preserve"> рассчитывать ее самостояте</w:t>
      </w:r>
      <w:r w:rsidR="0086235F" w:rsidRPr="004C7EA0">
        <w:rPr>
          <w:rFonts w:ascii="Times New Roman" w:eastAsia="Times New Roman" w:hAnsi="Times New Roman" w:cs="Times New Roman"/>
          <w:color w:val="000000" w:themeColor="text1"/>
          <w:sz w:val="28"/>
          <w:szCs w:val="28"/>
          <w:lang w:eastAsia="ru-RU"/>
        </w:rPr>
        <w:t>льно в случае пробела</w:t>
      </w:r>
      <w:r w:rsidR="00485711" w:rsidRPr="004C7EA0">
        <w:rPr>
          <w:rFonts w:ascii="Times New Roman" w:eastAsia="Times New Roman" w:hAnsi="Times New Roman" w:cs="Times New Roman"/>
          <w:color w:val="000000" w:themeColor="text1"/>
          <w:sz w:val="28"/>
          <w:szCs w:val="28"/>
          <w:lang w:eastAsia="ru-RU"/>
        </w:rPr>
        <w:t>,</w:t>
      </w:r>
      <w:r w:rsidR="0086235F" w:rsidRPr="004C7EA0">
        <w:rPr>
          <w:rFonts w:ascii="Times New Roman" w:eastAsia="Times New Roman" w:hAnsi="Times New Roman" w:cs="Times New Roman"/>
          <w:color w:val="000000" w:themeColor="text1"/>
          <w:sz w:val="28"/>
          <w:szCs w:val="28"/>
          <w:lang w:eastAsia="ru-RU"/>
        </w:rPr>
        <w:t xml:space="preserve"> поль</w:t>
      </w:r>
      <w:r w:rsidR="00E83032" w:rsidRPr="004C7EA0">
        <w:rPr>
          <w:rFonts w:ascii="Times New Roman" w:eastAsia="Times New Roman" w:hAnsi="Times New Roman" w:cs="Times New Roman"/>
          <w:color w:val="000000" w:themeColor="text1"/>
          <w:sz w:val="28"/>
          <w:szCs w:val="28"/>
          <w:lang w:eastAsia="ru-RU"/>
        </w:rPr>
        <w:t>зуясь средними з</w:t>
      </w:r>
      <w:r w:rsidR="0086235F" w:rsidRPr="004C7EA0">
        <w:rPr>
          <w:rFonts w:ascii="Times New Roman" w:eastAsia="Times New Roman" w:hAnsi="Times New Roman" w:cs="Times New Roman"/>
          <w:color w:val="000000" w:themeColor="text1"/>
          <w:sz w:val="28"/>
          <w:szCs w:val="28"/>
          <w:lang w:eastAsia="ru-RU"/>
        </w:rPr>
        <w:t>начениями по отрасли, что несомненно снижает ее достоверность.</w:t>
      </w:r>
    </w:p>
    <w:p w14:paraId="6B4BEAF6" w14:textId="77777777" w:rsidR="008C2C46" w:rsidRPr="004C7EA0" w:rsidRDefault="008C2C46" w:rsidP="00F90684">
      <w:pPr>
        <w:spacing w:after="0" w:line="24" w:lineRule="atLeast"/>
        <w:ind w:firstLine="709"/>
        <w:contextualSpacing/>
        <w:jc w:val="both"/>
        <w:rPr>
          <w:rFonts w:ascii="Times New Roman" w:eastAsia="Times New Roman" w:hAnsi="Times New Roman" w:cs="Times New Roman"/>
          <w:color w:val="000000" w:themeColor="text1"/>
          <w:sz w:val="28"/>
          <w:szCs w:val="28"/>
          <w:lang w:eastAsia="ru-RU"/>
        </w:rPr>
      </w:pPr>
      <w:r w:rsidRPr="004C7EA0">
        <w:rPr>
          <w:rFonts w:ascii="Times New Roman" w:eastAsia="Times New Roman" w:hAnsi="Times New Roman" w:cs="Times New Roman"/>
          <w:color w:val="000000" w:themeColor="text1"/>
          <w:sz w:val="28"/>
          <w:szCs w:val="28"/>
          <w:lang w:eastAsia="ru-RU"/>
        </w:rPr>
        <w:t xml:space="preserve">Наконец, специалисты обеспокоены тем вопросом, что </w:t>
      </w:r>
      <w:r w:rsidRPr="004C7EA0">
        <w:rPr>
          <w:rFonts w:ascii="Times New Roman" w:hAnsi="Times New Roman" w:cs="Times New Roman"/>
          <w:color w:val="000000" w:themeColor="text1"/>
          <w:sz w:val="28"/>
          <w:szCs w:val="28"/>
          <w:shd w:val="clear" w:color="auto" w:fill="FFFFFF"/>
        </w:rPr>
        <w:t>в ряде случаев может возникать потенциальный конфликт интересов.</w:t>
      </w:r>
      <w:r w:rsidR="00834AB1">
        <w:rPr>
          <w:rFonts w:ascii="Times New Roman" w:hAnsi="Times New Roman" w:cs="Times New Roman"/>
          <w:color w:val="000000" w:themeColor="text1"/>
          <w:sz w:val="28"/>
          <w:szCs w:val="28"/>
          <w:shd w:val="clear" w:color="auto" w:fill="FFFFFF"/>
        </w:rPr>
        <w:t xml:space="preserve"> </w:t>
      </w:r>
      <w:r w:rsidRPr="004C7EA0">
        <w:rPr>
          <w:rFonts w:ascii="Times New Roman" w:hAnsi="Times New Roman" w:cs="Times New Roman"/>
          <w:color w:val="000000" w:themeColor="text1"/>
          <w:sz w:val="28"/>
          <w:szCs w:val="28"/>
          <w:shd w:val="clear" w:color="auto" w:fill="FFFFFF"/>
        </w:rPr>
        <w:t>Как правило, причиной может послужить одно из двух обстоятельств: либо продажа консалтинговых услуг рейтинговым агентством оцениваемым компаниям</w:t>
      </w:r>
      <w:r w:rsidR="0086235F" w:rsidRPr="004C7EA0">
        <w:rPr>
          <w:rFonts w:ascii="Times New Roman" w:hAnsi="Times New Roman" w:cs="Times New Roman"/>
          <w:color w:val="000000" w:themeColor="text1"/>
          <w:sz w:val="28"/>
          <w:szCs w:val="28"/>
          <w:shd w:val="clear" w:color="auto" w:fill="FFFFFF"/>
        </w:rPr>
        <w:t xml:space="preserve"> </w:t>
      </w:r>
      <w:r w:rsidRPr="004C7EA0">
        <w:rPr>
          <w:rFonts w:ascii="Times New Roman" w:hAnsi="Times New Roman" w:cs="Times New Roman"/>
          <w:color w:val="000000" w:themeColor="text1"/>
          <w:sz w:val="28"/>
          <w:szCs w:val="28"/>
          <w:shd w:val="clear" w:color="auto" w:fill="FFFFFF"/>
        </w:rPr>
        <w:t xml:space="preserve">для поднятия их рейтинга, что ставит под угрозу независимость рейтингов, либо оценка поставщиком </w:t>
      </w:r>
      <w:r w:rsidRPr="004C7EA0">
        <w:rPr>
          <w:rFonts w:ascii="Times New Roman" w:hAnsi="Times New Roman" w:cs="Times New Roman"/>
          <w:color w:val="000000" w:themeColor="text1"/>
          <w:sz w:val="28"/>
          <w:szCs w:val="28"/>
          <w:shd w:val="clear" w:color="auto" w:fill="FFFFFF"/>
          <w:lang w:val="en-US"/>
        </w:rPr>
        <w:t>ESG</w:t>
      </w:r>
      <w:r w:rsidR="0086235F" w:rsidRPr="004C7EA0">
        <w:rPr>
          <w:rFonts w:ascii="Times New Roman" w:hAnsi="Times New Roman" w:cs="Times New Roman"/>
          <w:color w:val="000000" w:themeColor="text1"/>
          <w:sz w:val="28"/>
          <w:szCs w:val="28"/>
          <w:shd w:val="clear" w:color="auto" w:fill="FFFFFF"/>
        </w:rPr>
        <w:t>-</w:t>
      </w:r>
      <w:r w:rsidRPr="004C7EA0">
        <w:rPr>
          <w:rFonts w:ascii="Times New Roman" w:hAnsi="Times New Roman" w:cs="Times New Roman"/>
          <w:color w:val="000000" w:themeColor="text1"/>
          <w:sz w:val="28"/>
          <w:szCs w:val="28"/>
          <w:shd w:val="clear" w:color="auto" w:fill="FFFFFF"/>
        </w:rPr>
        <w:t>рейтингов аффилированной компании.</w:t>
      </w:r>
    </w:p>
    <w:p w14:paraId="5A81BCCD" w14:textId="77777777" w:rsidR="008C2C46" w:rsidRPr="004C7EA0" w:rsidRDefault="008C2C46"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r w:rsidRPr="004C7EA0">
        <w:rPr>
          <w:rFonts w:ascii="Times New Roman" w:hAnsi="Times New Roman" w:cs="Times New Roman"/>
          <w:color w:val="000000" w:themeColor="text1"/>
          <w:sz w:val="28"/>
          <w:szCs w:val="28"/>
          <w:shd w:val="clear" w:color="auto" w:fill="FFFFFF"/>
        </w:rPr>
        <w:t xml:space="preserve">Вопросы вызывает и </w:t>
      </w:r>
      <w:proofErr w:type="spellStart"/>
      <w:r w:rsidRPr="004C7EA0">
        <w:rPr>
          <w:rFonts w:ascii="Times New Roman" w:hAnsi="Times New Roman" w:cs="Times New Roman"/>
          <w:color w:val="000000" w:themeColor="text1"/>
          <w:sz w:val="28"/>
          <w:szCs w:val="28"/>
          <w:shd w:val="clear" w:color="auto" w:fill="FFFFFF"/>
        </w:rPr>
        <w:t>соотносимость</w:t>
      </w:r>
      <w:proofErr w:type="spellEnd"/>
      <w:r w:rsidRPr="004C7EA0">
        <w:rPr>
          <w:rFonts w:ascii="Times New Roman" w:hAnsi="Times New Roman" w:cs="Times New Roman"/>
          <w:color w:val="000000" w:themeColor="text1"/>
          <w:sz w:val="28"/>
          <w:szCs w:val="28"/>
          <w:shd w:val="clear" w:color="auto" w:fill="FFFFFF"/>
        </w:rPr>
        <w:t xml:space="preserve"> трех различных компонентов (экологический, социальный и управленческий) внутри общей </w:t>
      </w:r>
      <w:r w:rsidRPr="004C7EA0">
        <w:rPr>
          <w:rFonts w:ascii="Times New Roman" w:hAnsi="Times New Roman" w:cs="Times New Roman"/>
          <w:color w:val="000000" w:themeColor="text1"/>
          <w:sz w:val="28"/>
          <w:szCs w:val="28"/>
          <w:shd w:val="clear" w:color="auto" w:fill="FFFFFF"/>
          <w:lang w:val="en-US"/>
        </w:rPr>
        <w:t>ESG</w:t>
      </w:r>
      <w:r w:rsidRPr="004C7EA0">
        <w:rPr>
          <w:rFonts w:ascii="Times New Roman" w:hAnsi="Times New Roman" w:cs="Times New Roman"/>
          <w:color w:val="000000" w:themeColor="text1"/>
          <w:sz w:val="28"/>
          <w:szCs w:val="28"/>
          <w:shd w:val="clear" w:color="auto" w:fill="FFFFFF"/>
        </w:rPr>
        <w:t xml:space="preserve">-оценки, так как несмотря на тот факт, что они не </w:t>
      </w:r>
      <w:r w:rsidRPr="004C7EA0">
        <w:rPr>
          <w:rFonts w:ascii="Times New Roman" w:hAnsi="Times New Roman" w:cs="Times New Roman"/>
          <w:color w:val="000000" w:themeColor="text1"/>
          <w:sz w:val="28"/>
          <w:szCs w:val="28"/>
        </w:rPr>
        <w:t xml:space="preserve">являются компенсирующими и дополняющими по отношению друг к другу, так как </w:t>
      </w:r>
      <w:r w:rsidRPr="004C7EA0">
        <w:rPr>
          <w:rFonts w:ascii="Times New Roman" w:hAnsi="Times New Roman" w:cs="Times New Roman"/>
          <w:color w:val="000000" w:themeColor="text1"/>
          <w:sz w:val="28"/>
          <w:szCs w:val="28"/>
          <w:lang w:val="en-US"/>
        </w:rPr>
        <w:t>ESG</w:t>
      </w:r>
      <w:r w:rsidRPr="004C7EA0">
        <w:rPr>
          <w:rFonts w:ascii="Times New Roman" w:hAnsi="Times New Roman" w:cs="Times New Roman"/>
          <w:color w:val="000000" w:themeColor="text1"/>
          <w:sz w:val="28"/>
          <w:szCs w:val="28"/>
        </w:rPr>
        <w:t xml:space="preserve">-компоненты обладают разной природой, не сопоставимой между собой, фактически </w:t>
      </w:r>
      <w:r w:rsidR="0086235F" w:rsidRPr="004C7EA0">
        <w:rPr>
          <w:rFonts w:ascii="Times New Roman" w:hAnsi="Times New Roman" w:cs="Times New Roman"/>
          <w:color w:val="000000" w:themeColor="text1"/>
          <w:sz w:val="28"/>
          <w:szCs w:val="28"/>
        </w:rPr>
        <w:t>в настоящее время ситуация</w:t>
      </w:r>
      <w:r w:rsidRPr="004C7EA0">
        <w:rPr>
          <w:rFonts w:ascii="Times New Roman" w:hAnsi="Times New Roman" w:cs="Times New Roman"/>
          <w:color w:val="000000" w:themeColor="text1"/>
          <w:sz w:val="28"/>
          <w:szCs w:val="28"/>
        </w:rPr>
        <w:t xml:space="preserve"> зачастую складывается таким образом</w:t>
      </w:r>
      <w:r w:rsidR="0086235F" w:rsidRPr="004C7EA0">
        <w:rPr>
          <w:rFonts w:ascii="Times New Roman" w:hAnsi="Times New Roman" w:cs="Times New Roman"/>
          <w:color w:val="000000" w:themeColor="text1"/>
          <w:sz w:val="28"/>
          <w:szCs w:val="28"/>
        </w:rPr>
        <w:t>,</w:t>
      </w:r>
      <w:r w:rsidRPr="004C7EA0">
        <w:rPr>
          <w:rFonts w:ascii="Times New Roman" w:hAnsi="Times New Roman" w:cs="Times New Roman"/>
          <w:color w:val="000000" w:themeColor="text1"/>
          <w:sz w:val="28"/>
          <w:szCs w:val="28"/>
        </w:rPr>
        <w:t xml:space="preserve"> что </w:t>
      </w:r>
      <w:r w:rsidR="003E380C" w:rsidRPr="004C7EA0">
        <w:rPr>
          <w:rFonts w:ascii="Times New Roman" w:hAnsi="Times New Roman" w:cs="Times New Roman"/>
          <w:color w:val="000000" w:themeColor="text1"/>
          <w:sz w:val="28"/>
          <w:szCs w:val="28"/>
        </w:rPr>
        <w:t>положительная оценка по одному компоненту нивелирует отрица</w:t>
      </w:r>
      <w:r w:rsidR="0086235F" w:rsidRPr="004C7EA0">
        <w:rPr>
          <w:rFonts w:ascii="Times New Roman" w:hAnsi="Times New Roman" w:cs="Times New Roman"/>
          <w:color w:val="000000" w:themeColor="text1"/>
          <w:sz w:val="28"/>
          <w:szCs w:val="28"/>
        </w:rPr>
        <w:t xml:space="preserve">тельные </w:t>
      </w:r>
      <w:r w:rsidR="003E380C" w:rsidRPr="004C7EA0">
        <w:rPr>
          <w:rFonts w:ascii="Times New Roman" w:hAnsi="Times New Roman" w:cs="Times New Roman"/>
          <w:color w:val="000000" w:themeColor="text1"/>
          <w:sz w:val="28"/>
          <w:szCs w:val="28"/>
        </w:rPr>
        <w:t xml:space="preserve">по </w:t>
      </w:r>
      <w:r w:rsidR="003E380C" w:rsidRPr="004C7EA0">
        <w:rPr>
          <w:rFonts w:ascii="Times New Roman" w:hAnsi="Times New Roman" w:cs="Times New Roman"/>
          <w:color w:val="000000" w:themeColor="text1"/>
          <w:sz w:val="28"/>
          <w:szCs w:val="28"/>
        </w:rPr>
        <w:lastRenderedPageBreak/>
        <w:t>другим</w:t>
      </w:r>
      <w:r w:rsidR="0086235F" w:rsidRPr="004C7EA0">
        <w:rPr>
          <w:rFonts w:ascii="Times New Roman" w:hAnsi="Times New Roman" w:cs="Times New Roman"/>
          <w:color w:val="000000" w:themeColor="text1"/>
          <w:sz w:val="28"/>
          <w:szCs w:val="28"/>
        </w:rPr>
        <w:t xml:space="preserve"> и наоборот в рамках общей </w:t>
      </w:r>
      <w:r w:rsidR="0086235F" w:rsidRPr="004C7EA0">
        <w:rPr>
          <w:rFonts w:ascii="Times New Roman" w:hAnsi="Times New Roman" w:cs="Times New Roman"/>
          <w:color w:val="000000" w:themeColor="text1"/>
          <w:sz w:val="28"/>
          <w:szCs w:val="28"/>
          <w:lang w:val="en-US"/>
        </w:rPr>
        <w:t>ESG</w:t>
      </w:r>
      <w:r w:rsidR="0086235F" w:rsidRPr="004C7EA0">
        <w:rPr>
          <w:rFonts w:ascii="Times New Roman" w:hAnsi="Times New Roman" w:cs="Times New Roman"/>
          <w:color w:val="000000" w:themeColor="text1"/>
          <w:sz w:val="28"/>
          <w:szCs w:val="28"/>
        </w:rPr>
        <w:t xml:space="preserve">-оценки. </w:t>
      </w:r>
      <w:r w:rsidRPr="004C7EA0">
        <w:rPr>
          <w:rFonts w:ascii="Times New Roman" w:hAnsi="Times New Roman" w:cs="Times New Roman"/>
          <w:color w:val="000000" w:themeColor="text1"/>
          <w:sz w:val="28"/>
          <w:szCs w:val="28"/>
          <w:shd w:val="clear" w:color="auto" w:fill="FFFFFF"/>
        </w:rPr>
        <w:t xml:space="preserve">Соответственно, только гарантировав большую прозрачность в отношении входных данных для своих рейтингов и того, как эти входные данные оцениваются и взвешиваются, поставщики ESG рейтингов смогут предложить потребителям этой информации достойную основу для принятия обоснованных решений относительно того, как эффективно использовать и интерпретировать </w:t>
      </w:r>
      <w:r w:rsidRPr="004C7EA0">
        <w:rPr>
          <w:rFonts w:ascii="Times New Roman" w:hAnsi="Times New Roman" w:cs="Times New Roman"/>
          <w:color w:val="000000" w:themeColor="text1"/>
          <w:sz w:val="28"/>
          <w:szCs w:val="28"/>
          <w:shd w:val="clear" w:color="auto" w:fill="FFFFFF"/>
          <w:lang w:val="en-US"/>
        </w:rPr>
        <w:t>ESG</w:t>
      </w:r>
      <w:r w:rsidRPr="004C7EA0">
        <w:rPr>
          <w:rFonts w:ascii="Times New Roman" w:hAnsi="Times New Roman" w:cs="Times New Roman"/>
          <w:color w:val="000000" w:themeColor="text1"/>
          <w:sz w:val="28"/>
          <w:szCs w:val="28"/>
          <w:shd w:val="clear" w:color="auto" w:fill="FFFFFF"/>
        </w:rPr>
        <w:t xml:space="preserve"> рейтинги.</w:t>
      </w:r>
    </w:p>
    <w:p w14:paraId="3E34F1CB" w14:textId="77777777" w:rsidR="0086235F" w:rsidRPr="004C7EA0" w:rsidRDefault="0086235F"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r w:rsidRPr="004C7EA0">
        <w:rPr>
          <w:rFonts w:ascii="Times New Roman" w:hAnsi="Times New Roman" w:cs="Times New Roman"/>
          <w:color w:val="000000" w:themeColor="text1"/>
          <w:sz w:val="28"/>
          <w:szCs w:val="28"/>
        </w:rPr>
        <w:t>С</w:t>
      </w:r>
      <w:r w:rsidR="008C2C46" w:rsidRPr="004C7EA0">
        <w:rPr>
          <w:rFonts w:ascii="Times New Roman" w:hAnsi="Times New Roman" w:cs="Times New Roman"/>
          <w:color w:val="000000" w:themeColor="text1"/>
          <w:sz w:val="28"/>
          <w:szCs w:val="28"/>
        </w:rPr>
        <w:t xml:space="preserve"> учетом всего вышесказанного, ряд международных организаций и стран направляют свои усилия на повышение качества </w:t>
      </w:r>
      <w:r w:rsidR="008C2C46" w:rsidRPr="004C7EA0">
        <w:rPr>
          <w:rFonts w:ascii="Times New Roman" w:hAnsi="Times New Roman" w:cs="Times New Roman"/>
          <w:color w:val="000000" w:themeColor="text1"/>
          <w:sz w:val="28"/>
          <w:szCs w:val="28"/>
          <w:lang w:val="en-US"/>
        </w:rPr>
        <w:t>ESG</w:t>
      </w:r>
      <w:r w:rsidR="008C2C46" w:rsidRPr="004C7EA0">
        <w:rPr>
          <w:rFonts w:ascii="Times New Roman" w:hAnsi="Times New Roman" w:cs="Times New Roman"/>
          <w:color w:val="000000" w:themeColor="text1"/>
          <w:sz w:val="28"/>
          <w:szCs w:val="28"/>
        </w:rPr>
        <w:t xml:space="preserve">рейтингов, посредством разработки различных </w:t>
      </w:r>
      <w:r w:rsidR="008C2C46" w:rsidRPr="004C7EA0">
        <w:rPr>
          <w:rFonts w:ascii="Times New Roman" w:hAnsi="Times New Roman" w:cs="Times New Roman"/>
          <w:color w:val="000000" w:themeColor="text1"/>
          <w:sz w:val="28"/>
          <w:szCs w:val="28"/>
          <w:shd w:val="clear" w:color="auto" w:fill="FFFFFF"/>
        </w:rPr>
        <w:t>стандартов</w:t>
      </w:r>
      <w:r w:rsidR="00834AB1">
        <w:rPr>
          <w:rFonts w:ascii="Times New Roman" w:hAnsi="Times New Roman" w:cs="Times New Roman"/>
          <w:color w:val="000000" w:themeColor="text1"/>
          <w:sz w:val="28"/>
          <w:szCs w:val="28"/>
          <w:shd w:val="clear" w:color="auto" w:fill="FFFFFF"/>
        </w:rPr>
        <w:t xml:space="preserve"> </w:t>
      </w:r>
      <w:r w:rsidR="008C2C46" w:rsidRPr="004C7EA0">
        <w:rPr>
          <w:rFonts w:ascii="Times New Roman" w:hAnsi="Times New Roman" w:cs="Times New Roman"/>
          <w:color w:val="000000" w:themeColor="text1"/>
          <w:sz w:val="28"/>
          <w:szCs w:val="28"/>
          <w:shd w:val="clear" w:color="auto" w:fill="FFFFFF"/>
        </w:rPr>
        <w:t>и</w:t>
      </w:r>
      <w:r w:rsidR="00834AB1">
        <w:rPr>
          <w:rFonts w:ascii="Times New Roman" w:hAnsi="Times New Roman" w:cs="Times New Roman"/>
          <w:color w:val="000000" w:themeColor="text1"/>
          <w:sz w:val="28"/>
          <w:szCs w:val="28"/>
          <w:shd w:val="clear" w:color="auto" w:fill="FFFFFF"/>
        </w:rPr>
        <w:t xml:space="preserve"> </w:t>
      </w:r>
      <w:r w:rsidR="008C2C46" w:rsidRPr="004C7EA0">
        <w:rPr>
          <w:rFonts w:ascii="Times New Roman" w:hAnsi="Times New Roman" w:cs="Times New Roman"/>
          <w:color w:val="000000" w:themeColor="text1"/>
          <w:sz w:val="28"/>
          <w:szCs w:val="28"/>
          <w:shd w:val="clear" w:color="auto" w:fill="FFFFFF"/>
        </w:rPr>
        <w:t>принципов</w:t>
      </w:r>
      <w:r w:rsidR="00834AB1">
        <w:rPr>
          <w:rFonts w:ascii="Times New Roman" w:hAnsi="Times New Roman" w:cs="Times New Roman"/>
          <w:color w:val="000000" w:themeColor="text1"/>
          <w:sz w:val="28"/>
          <w:szCs w:val="28"/>
          <w:shd w:val="clear" w:color="auto" w:fill="FFFFFF"/>
        </w:rPr>
        <w:t xml:space="preserve"> </w:t>
      </w:r>
      <w:r w:rsidR="008C2C46" w:rsidRPr="004C7EA0">
        <w:rPr>
          <w:rFonts w:ascii="Times New Roman" w:hAnsi="Times New Roman" w:cs="Times New Roman"/>
          <w:color w:val="000000" w:themeColor="text1"/>
          <w:sz w:val="28"/>
          <w:szCs w:val="28"/>
          <w:shd w:val="clear" w:color="auto" w:fill="FFFFFF"/>
        </w:rPr>
        <w:t>на глобальном уровне.</w:t>
      </w:r>
      <w:r w:rsidRPr="004C7EA0">
        <w:rPr>
          <w:rFonts w:ascii="Times New Roman" w:hAnsi="Times New Roman" w:cs="Times New Roman"/>
          <w:color w:val="000000" w:themeColor="text1"/>
          <w:sz w:val="28"/>
          <w:szCs w:val="28"/>
          <w:shd w:val="clear" w:color="auto" w:fill="FFFFFF"/>
        </w:rPr>
        <w:t xml:space="preserve"> </w:t>
      </w:r>
      <w:r w:rsidR="008C2C46" w:rsidRPr="004C7EA0">
        <w:rPr>
          <w:rFonts w:ascii="Times New Roman" w:hAnsi="Times New Roman" w:cs="Times New Roman"/>
          <w:color w:val="000000" w:themeColor="text1"/>
          <w:sz w:val="28"/>
          <w:szCs w:val="28"/>
          <w:shd w:val="clear" w:color="auto" w:fill="FFFFFF"/>
        </w:rPr>
        <w:t xml:space="preserve">Так, в данном отношении </w:t>
      </w:r>
      <w:r w:rsidRPr="004C7EA0">
        <w:rPr>
          <w:rFonts w:ascii="Times New Roman" w:hAnsi="Times New Roman" w:cs="Times New Roman"/>
          <w:color w:val="000000" w:themeColor="text1"/>
          <w:sz w:val="28"/>
          <w:szCs w:val="28"/>
          <w:shd w:val="clear" w:color="auto" w:fill="FFFFFF"/>
        </w:rPr>
        <w:t xml:space="preserve">стоит отметить </w:t>
      </w:r>
      <w:r w:rsidR="008C2C46" w:rsidRPr="004C7EA0">
        <w:rPr>
          <w:rFonts w:ascii="Times New Roman" w:hAnsi="Times New Roman" w:cs="Times New Roman"/>
          <w:color w:val="000000" w:themeColor="text1"/>
          <w:sz w:val="28"/>
          <w:szCs w:val="28"/>
          <w:shd w:val="clear" w:color="auto" w:fill="FFFFFF"/>
        </w:rPr>
        <w:t xml:space="preserve">усилия ОЭСР, </w:t>
      </w:r>
      <w:r w:rsidR="008C2C46" w:rsidRPr="004C7EA0">
        <w:rPr>
          <w:rFonts w:ascii="Times New Roman" w:hAnsi="Times New Roman" w:cs="Times New Roman"/>
          <w:color w:val="000000" w:themeColor="text1"/>
          <w:sz w:val="28"/>
          <w:szCs w:val="28"/>
          <w:shd w:val="clear" w:color="auto" w:fill="FFFFFF"/>
          <w:lang w:val="en-US"/>
        </w:rPr>
        <w:t>IOSCO</w:t>
      </w:r>
      <w:r w:rsidR="008C2C46" w:rsidRPr="004C7EA0">
        <w:rPr>
          <w:rFonts w:ascii="Times New Roman" w:hAnsi="Times New Roman" w:cs="Times New Roman"/>
          <w:color w:val="000000" w:themeColor="text1"/>
          <w:sz w:val="28"/>
          <w:szCs w:val="28"/>
          <w:shd w:val="clear" w:color="auto" w:fill="FFFFFF"/>
        </w:rPr>
        <w:t>, Японии и Индии. Вели</w:t>
      </w:r>
      <w:r w:rsidRPr="004C7EA0">
        <w:rPr>
          <w:rFonts w:ascii="Times New Roman" w:hAnsi="Times New Roman" w:cs="Times New Roman"/>
          <w:color w:val="000000" w:themeColor="text1"/>
          <w:sz w:val="28"/>
          <w:szCs w:val="28"/>
          <w:shd w:val="clear" w:color="auto" w:fill="FFFFFF"/>
        </w:rPr>
        <w:t>ко</w:t>
      </w:r>
      <w:r w:rsidR="008C2C46" w:rsidRPr="004C7EA0">
        <w:rPr>
          <w:rFonts w:ascii="Times New Roman" w:hAnsi="Times New Roman" w:cs="Times New Roman"/>
          <w:color w:val="000000" w:themeColor="text1"/>
          <w:sz w:val="28"/>
          <w:szCs w:val="28"/>
          <w:shd w:val="clear" w:color="auto" w:fill="FFFFFF"/>
        </w:rPr>
        <w:t xml:space="preserve">британия </w:t>
      </w:r>
      <w:r w:rsidR="003E380C" w:rsidRPr="004C7EA0">
        <w:rPr>
          <w:rFonts w:ascii="Times New Roman" w:hAnsi="Times New Roman" w:cs="Times New Roman"/>
          <w:color w:val="000000" w:themeColor="text1"/>
          <w:sz w:val="28"/>
          <w:szCs w:val="28"/>
          <w:shd w:val="clear" w:color="auto" w:fill="FFFFFF"/>
        </w:rPr>
        <w:t xml:space="preserve">и ЕС </w:t>
      </w:r>
      <w:r w:rsidR="008C2C46" w:rsidRPr="004C7EA0">
        <w:rPr>
          <w:rFonts w:ascii="Times New Roman" w:hAnsi="Times New Roman" w:cs="Times New Roman"/>
          <w:color w:val="000000" w:themeColor="text1"/>
          <w:sz w:val="28"/>
          <w:szCs w:val="28"/>
          <w:shd w:val="clear" w:color="auto" w:fill="FFFFFF"/>
        </w:rPr>
        <w:t>такж</w:t>
      </w:r>
      <w:r w:rsidRPr="004C7EA0">
        <w:rPr>
          <w:rFonts w:ascii="Times New Roman" w:hAnsi="Times New Roman" w:cs="Times New Roman"/>
          <w:color w:val="000000" w:themeColor="text1"/>
          <w:sz w:val="28"/>
          <w:szCs w:val="28"/>
          <w:shd w:val="clear" w:color="auto" w:fill="FFFFFF"/>
        </w:rPr>
        <w:t xml:space="preserve">е стремится к развитию регулирования в области </w:t>
      </w:r>
      <w:r w:rsidRPr="004C7EA0">
        <w:rPr>
          <w:rFonts w:ascii="Times New Roman" w:hAnsi="Times New Roman" w:cs="Times New Roman"/>
          <w:color w:val="000000" w:themeColor="text1"/>
          <w:sz w:val="28"/>
          <w:szCs w:val="28"/>
          <w:shd w:val="clear" w:color="auto" w:fill="FFFFFF"/>
          <w:lang w:val="en-US"/>
        </w:rPr>
        <w:t>ESG</w:t>
      </w:r>
      <w:r w:rsidRPr="004C7EA0">
        <w:rPr>
          <w:rFonts w:ascii="Times New Roman" w:hAnsi="Times New Roman" w:cs="Times New Roman"/>
          <w:color w:val="000000" w:themeColor="text1"/>
          <w:sz w:val="28"/>
          <w:szCs w:val="28"/>
          <w:shd w:val="clear" w:color="auto" w:fill="FFFFFF"/>
        </w:rPr>
        <w:t xml:space="preserve">-рейтингования, однако его зарождение еще находится лишь на начальном этапе. </w:t>
      </w:r>
    </w:p>
    <w:p w14:paraId="102CD31D" w14:textId="77777777" w:rsidR="0086235F" w:rsidRPr="004C7EA0" w:rsidRDefault="008C2C46" w:rsidP="00F90684">
      <w:pPr>
        <w:spacing w:after="0" w:line="24" w:lineRule="atLeast"/>
        <w:ind w:firstLine="709"/>
        <w:contextualSpacing/>
        <w:jc w:val="both"/>
        <w:rPr>
          <w:rFonts w:ascii="Times New Roman" w:hAnsi="Times New Roman" w:cs="Times New Roman"/>
          <w:color w:val="000000" w:themeColor="text1"/>
          <w:sz w:val="28"/>
          <w:szCs w:val="28"/>
        </w:rPr>
      </w:pPr>
      <w:r w:rsidRPr="004C7EA0">
        <w:rPr>
          <w:rFonts w:ascii="Times New Roman" w:hAnsi="Times New Roman" w:cs="Times New Roman"/>
          <w:color w:val="000000" w:themeColor="text1"/>
          <w:sz w:val="28"/>
          <w:szCs w:val="28"/>
          <w:shd w:val="clear" w:color="auto" w:fill="FFFFFF"/>
        </w:rPr>
        <w:t>Так, ОЭСР</w:t>
      </w:r>
      <w:r w:rsidR="00485711" w:rsidRPr="004C7EA0">
        <w:rPr>
          <w:rStyle w:val="FootnoteReference"/>
          <w:rFonts w:ascii="Times New Roman" w:hAnsi="Times New Roman" w:cs="Times New Roman"/>
          <w:color w:val="000000" w:themeColor="text1"/>
          <w:sz w:val="28"/>
          <w:szCs w:val="28"/>
          <w:shd w:val="clear" w:color="auto" w:fill="FFFFFF"/>
        </w:rPr>
        <w:footnoteReference w:id="4"/>
      </w:r>
      <w:r w:rsidRPr="004C7EA0">
        <w:rPr>
          <w:rFonts w:ascii="Times New Roman" w:hAnsi="Times New Roman" w:cs="Times New Roman"/>
          <w:color w:val="000000" w:themeColor="text1"/>
          <w:sz w:val="28"/>
          <w:szCs w:val="28"/>
          <w:shd w:val="clear" w:color="auto" w:fill="FFFFFF"/>
        </w:rPr>
        <w:t xml:space="preserve"> предлагает главным образом </w:t>
      </w:r>
      <w:r w:rsidR="003E380C" w:rsidRPr="004C7EA0">
        <w:rPr>
          <w:rFonts w:ascii="Times New Roman" w:eastAsia="Times New Roman" w:hAnsi="Times New Roman" w:cs="Times New Roman"/>
          <w:color w:val="000000" w:themeColor="text1"/>
          <w:sz w:val="28"/>
          <w:szCs w:val="28"/>
          <w:lang w:eastAsia="ru-RU"/>
        </w:rPr>
        <w:t>произвести з</w:t>
      </w:r>
      <w:r w:rsidRPr="004C7EA0">
        <w:rPr>
          <w:rFonts w:ascii="Times New Roman" w:eastAsia="Times New Roman" w:hAnsi="Times New Roman" w:cs="Times New Roman"/>
          <w:color w:val="000000" w:themeColor="text1"/>
          <w:sz w:val="28"/>
          <w:szCs w:val="28"/>
          <w:lang w:eastAsia="ru-RU"/>
        </w:rPr>
        <w:t xml:space="preserve">акрепление регулирования на </w:t>
      </w:r>
      <w:proofErr w:type="spellStart"/>
      <w:r w:rsidRPr="004C7EA0">
        <w:rPr>
          <w:rFonts w:ascii="Times New Roman" w:eastAsia="Times New Roman" w:hAnsi="Times New Roman" w:cs="Times New Roman"/>
          <w:color w:val="000000" w:themeColor="text1"/>
          <w:sz w:val="28"/>
          <w:szCs w:val="28"/>
          <w:lang w:eastAsia="ru-RU"/>
        </w:rPr>
        <w:t>страновом</w:t>
      </w:r>
      <w:proofErr w:type="spellEnd"/>
      <w:r w:rsidRPr="004C7EA0">
        <w:rPr>
          <w:rFonts w:ascii="Times New Roman" w:eastAsia="Times New Roman" w:hAnsi="Times New Roman" w:cs="Times New Roman"/>
          <w:color w:val="000000" w:themeColor="text1"/>
          <w:sz w:val="28"/>
          <w:szCs w:val="28"/>
          <w:lang w:eastAsia="ru-RU"/>
        </w:rPr>
        <w:t xml:space="preserve"> уровне и стандартов на глобальном, </w:t>
      </w:r>
      <w:r w:rsidR="003E380C" w:rsidRPr="004C7EA0">
        <w:rPr>
          <w:rFonts w:ascii="Times New Roman" w:eastAsia="Times New Roman" w:hAnsi="Times New Roman" w:cs="Times New Roman"/>
          <w:color w:val="000000" w:themeColor="text1"/>
          <w:sz w:val="28"/>
          <w:szCs w:val="28"/>
          <w:lang w:eastAsia="ru-RU"/>
        </w:rPr>
        <w:t xml:space="preserve">в первую очередь с целью повышения качества источников, на которых строятся рейтинги. </w:t>
      </w:r>
      <w:r w:rsidR="00937498" w:rsidRPr="004C7EA0">
        <w:rPr>
          <w:rFonts w:ascii="Times New Roman" w:hAnsi="Times New Roman" w:cs="Times New Roman"/>
          <w:color w:val="000000" w:themeColor="text1"/>
          <w:sz w:val="28"/>
          <w:szCs w:val="28"/>
        </w:rPr>
        <w:t>Европейская ассоциация фондов и управления активами (</w:t>
      </w:r>
      <w:r w:rsidR="00937498" w:rsidRPr="004C7EA0">
        <w:rPr>
          <w:rFonts w:ascii="Times New Roman" w:hAnsi="Times New Roman" w:cs="Times New Roman"/>
          <w:color w:val="000000" w:themeColor="text1"/>
          <w:sz w:val="28"/>
          <w:szCs w:val="28"/>
          <w:lang w:val="en-US"/>
        </w:rPr>
        <w:t>EFAMA</w:t>
      </w:r>
      <w:r w:rsidR="00937498" w:rsidRPr="004C7EA0">
        <w:rPr>
          <w:rFonts w:ascii="Times New Roman" w:hAnsi="Times New Roman" w:cs="Times New Roman"/>
          <w:color w:val="000000" w:themeColor="text1"/>
          <w:sz w:val="28"/>
          <w:szCs w:val="28"/>
        </w:rPr>
        <w:t>)</w:t>
      </w:r>
      <w:r w:rsidR="00937498" w:rsidRPr="004C7EA0">
        <w:rPr>
          <w:rStyle w:val="FootnoteReference"/>
          <w:rFonts w:ascii="Times New Roman" w:hAnsi="Times New Roman" w:cs="Times New Roman"/>
          <w:color w:val="000000" w:themeColor="text1"/>
          <w:sz w:val="28"/>
          <w:szCs w:val="28"/>
          <w:lang w:val="en-US"/>
        </w:rPr>
        <w:footnoteReference w:id="5"/>
      </w:r>
      <w:r w:rsidR="00937498" w:rsidRPr="004C7EA0">
        <w:rPr>
          <w:rFonts w:ascii="Times New Roman" w:hAnsi="Times New Roman" w:cs="Times New Roman"/>
          <w:color w:val="000000" w:themeColor="text1"/>
          <w:sz w:val="28"/>
          <w:szCs w:val="28"/>
        </w:rPr>
        <w:t xml:space="preserve"> в данной связи рекомендует введение глобальных стандартов отчетности компаний в области </w:t>
      </w:r>
      <w:r w:rsidR="00937498" w:rsidRPr="004C7EA0">
        <w:rPr>
          <w:rFonts w:ascii="Times New Roman" w:hAnsi="Times New Roman" w:cs="Times New Roman"/>
          <w:color w:val="000000" w:themeColor="text1"/>
          <w:sz w:val="28"/>
          <w:szCs w:val="28"/>
          <w:lang w:val="en-US"/>
        </w:rPr>
        <w:t>ESG</w:t>
      </w:r>
      <w:r w:rsidR="00937498" w:rsidRPr="004C7EA0">
        <w:rPr>
          <w:rFonts w:ascii="Times New Roman" w:hAnsi="Times New Roman" w:cs="Times New Roman"/>
          <w:color w:val="000000" w:themeColor="text1"/>
          <w:sz w:val="28"/>
          <w:szCs w:val="28"/>
        </w:rPr>
        <w:t xml:space="preserve"> и создание единой европейской точ</w:t>
      </w:r>
      <w:r w:rsidR="0086235F" w:rsidRPr="004C7EA0">
        <w:rPr>
          <w:rFonts w:ascii="Times New Roman" w:hAnsi="Times New Roman" w:cs="Times New Roman"/>
          <w:color w:val="000000" w:themeColor="text1"/>
          <w:sz w:val="28"/>
          <w:szCs w:val="28"/>
        </w:rPr>
        <w:t>ки доступа к такого рода данным</w:t>
      </w:r>
      <w:r w:rsidR="00937498" w:rsidRPr="004C7EA0">
        <w:rPr>
          <w:rFonts w:ascii="Times New Roman" w:hAnsi="Times New Roman" w:cs="Times New Roman"/>
          <w:color w:val="000000" w:themeColor="text1"/>
          <w:sz w:val="28"/>
          <w:szCs w:val="28"/>
        </w:rPr>
        <w:t xml:space="preserve"> в целях сокращения пробелов. </w:t>
      </w:r>
      <w:r w:rsidR="003E380C" w:rsidRPr="004C7EA0">
        <w:rPr>
          <w:rFonts w:ascii="Times New Roman" w:eastAsia="Times New Roman" w:hAnsi="Times New Roman" w:cs="Times New Roman"/>
          <w:color w:val="000000" w:themeColor="text1"/>
          <w:sz w:val="28"/>
          <w:szCs w:val="28"/>
          <w:lang w:eastAsia="ru-RU"/>
        </w:rPr>
        <w:t xml:space="preserve">ОЭСР также отмечает </w:t>
      </w:r>
      <w:r w:rsidRPr="004C7EA0">
        <w:rPr>
          <w:rFonts w:ascii="Times New Roman" w:eastAsia="Times New Roman" w:hAnsi="Times New Roman" w:cs="Times New Roman"/>
          <w:color w:val="000000" w:themeColor="text1"/>
          <w:sz w:val="28"/>
          <w:szCs w:val="28"/>
          <w:lang w:eastAsia="ru-RU"/>
        </w:rPr>
        <w:t xml:space="preserve">необходимость обеспечения прозрачности </w:t>
      </w:r>
      <w:r w:rsidR="003E380C" w:rsidRPr="004C7EA0">
        <w:rPr>
          <w:rFonts w:ascii="Times New Roman" w:eastAsia="Times New Roman" w:hAnsi="Times New Roman" w:cs="Times New Roman"/>
          <w:color w:val="000000" w:themeColor="text1"/>
          <w:sz w:val="28"/>
          <w:szCs w:val="28"/>
          <w:lang w:eastAsia="ru-RU"/>
        </w:rPr>
        <w:t>методологии, формирования и последующего закрепления специальной</w:t>
      </w:r>
      <w:r w:rsidRPr="004C7EA0">
        <w:rPr>
          <w:rFonts w:ascii="Times New Roman" w:eastAsia="Times New Roman" w:hAnsi="Times New Roman" w:cs="Times New Roman"/>
          <w:color w:val="000000" w:themeColor="text1"/>
          <w:sz w:val="28"/>
          <w:szCs w:val="28"/>
          <w:lang w:eastAsia="ru-RU"/>
        </w:rPr>
        <w:t xml:space="preserve"> терминологии и определений</w:t>
      </w:r>
      <w:r w:rsidR="003E380C" w:rsidRPr="004C7EA0">
        <w:rPr>
          <w:rFonts w:ascii="Times New Roman" w:eastAsia="Times New Roman" w:hAnsi="Times New Roman" w:cs="Times New Roman"/>
          <w:color w:val="000000" w:themeColor="text1"/>
          <w:sz w:val="28"/>
          <w:szCs w:val="28"/>
          <w:lang w:eastAsia="ru-RU"/>
        </w:rPr>
        <w:t xml:space="preserve"> в целях повышения интерпретируемости таких </w:t>
      </w:r>
      <w:r w:rsidR="003E380C" w:rsidRPr="004C7EA0">
        <w:rPr>
          <w:rFonts w:ascii="Times New Roman" w:eastAsia="Times New Roman" w:hAnsi="Times New Roman" w:cs="Times New Roman"/>
          <w:color w:val="000000" w:themeColor="text1"/>
          <w:sz w:val="28"/>
          <w:szCs w:val="28"/>
          <w:lang w:val="en-US" w:eastAsia="ru-RU"/>
        </w:rPr>
        <w:t>ESG</w:t>
      </w:r>
      <w:r w:rsidR="003E380C" w:rsidRPr="004C7EA0">
        <w:rPr>
          <w:rFonts w:ascii="Times New Roman" w:eastAsia="Times New Roman" w:hAnsi="Times New Roman" w:cs="Times New Roman"/>
          <w:color w:val="000000" w:themeColor="text1"/>
          <w:sz w:val="28"/>
          <w:szCs w:val="28"/>
          <w:lang w:eastAsia="ru-RU"/>
        </w:rPr>
        <w:t>-продуктов.</w:t>
      </w:r>
      <w:r w:rsidR="00937498" w:rsidRPr="004C7EA0">
        <w:rPr>
          <w:rFonts w:ascii="Times New Roman" w:eastAsia="Times New Roman" w:hAnsi="Times New Roman" w:cs="Times New Roman"/>
          <w:color w:val="000000" w:themeColor="text1"/>
          <w:sz w:val="28"/>
          <w:szCs w:val="28"/>
          <w:lang w:eastAsia="ru-RU"/>
        </w:rPr>
        <w:t xml:space="preserve"> Об ограниченной прозрачности и отсутствии единого определения говорит также </w:t>
      </w:r>
      <w:r w:rsidR="00937498" w:rsidRPr="004C7EA0">
        <w:rPr>
          <w:rFonts w:ascii="Times New Roman" w:hAnsi="Times New Roman" w:cs="Times New Roman"/>
          <w:color w:val="000000" w:themeColor="text1"/>
          <w:sz w:val="28"/>
          <w:szCs w:val="28"/>
          <w:shd w:val="clear" w:color="auto" w:fill="FFFFFF"/>
        </w:rPr>
        <w:t>Европейское управление по ценным бумагам и рынкам (ES</w:t>
      </w:r>
      <w:r w:rsidR="00937498" w:rsidRPr="004C7EA0">
        <w:rPr>
          <w:rFonts w:ascii="Times New Roman" w:hAnsi="Times New Roman" w:cs="Times New Roman"/>
          <w:color w:val="000000" w:themeColor="text1"/>
          <w:sz w:val="28"/>
          <w:szCs w:val="28"/>
          <w:shd w:val="clear" w:color="auto" w:fill="FFFFFF"/>
          <w:lang w:val="en-US"/>
        </w:rPr>
        <w:t>MA</w:t>
      </w:r>
      <w:r w:rsidR="00937498" w:rsidRPr="004C7EA0">
        <w:rPr>
          <w:rFonts w:ascii="Times New Roman" w:hAnsi="Times New Roman" w:cs="Times New Roman"/>
          <w:color w:val="000000" w:themeColor="text1"/>
          <w:sz w:val="28"/>
          <w:szCs w:val="28"/>
          <w:shd w:val="clear" w:color="auto" w:fill="FFFFFF"/>
        </w:rPr>
        <w:t xml:space="preserve">). </w:t>
      </w:r>
      <w:r w:rsidR="00937498" w:rsidRPr="004C7EA0">
        <w:rPr>
          <w:rFonts w:ascii="Times New Roman" w:hAnsi="Times New Roman" w:cs="Times New Roman"/>
          <w:color w:val="000000" w:themeColor="text1"/>
          <w:sz w:val="28"/>
          <w:szCs w:val="28"/>
          <w:lang w:val="en-US"/>
        </w:rPr>
        <w:t>SEBI</w:t>
      </w:r>
      <w:r w:rsidR="006F4012" w:rsidRPr="004C7EA0">
        <w:rPr>
          <w:rFonts w:ascii="Times New Roman" w:hAnsi="Times New Roman" w:cs="Times New Roman"/>
          <w:color w:val="000000" w:themeColor="text1"/>
          <w:sz w:val="28"/>
          <w:szCs w:val="28"/>
        </w:rPr>
        <w:t xml:space="preserve"> (Совет по ценным бумагам и биржам Индии</w:t>
      </w:r>
      <w:r w:rsidR="00485711" w:rsidRPr="004C7EA0">
        <w:rPr>
          <w:rFonts w:ascii="Times New Roman" w:hAnsi="Times New Roman" w:cs="Times New Roman"/>
          <w:color w:val="000000" w:themeColor="text1"/>
          <w:sz w:val="28"/>
          <w:szCs w:val="28"/>
        </w:rPr>
        <w:t>)</w:t>
      </w:r>
      <w:r w:rsidR="00485711" w:rsidRPr="004C7EA0">
        <w:rPr>
          <w:rStyle w:val="FootnoteReference"/>
          <w:rFonts w:ascii="Times New Roman" w:hAnsi="Times New Roman" w:cs="Times New Roman"/>
          <w:color w:val="000000" w:themeColor="text1"/>
          <w:sz w:val="28"/>
          <w:szCs w:val="28"/>
        </w:rPr>
        <w:footnoteReference w:id="6"/>
      </w:r>
      <w:r w:rsidR="00485711" w:rsidRPr="004C7EA0">
        <w:rPr>
          <w:rFonts w:ascii="Times New Roman" w:hAnsi="Times New Roman" w:cs="Times New Roman"/>
          <w:color w:val="000000" w:themeColor="text1"/>
          <w:sz w:val="28"/>
          <w:szCs w:val="28"/>
        </w:rPr>
        <w:t xml:space="preserve"> </w:t>
      </w:r>
      <w:r w:rsidR="00937498" w:rsidRPr="004C7EA0">
        <w:rPr>
          <w:rFonts w:ascii="Times New Roman" w:hAnsi="Times New Roman" w:cs="Times New Roman"/>
          <w:color w:val="000000" w:themeColor="text1"/>
          <w:sz w:val="28"/>
          <w:szCs w:val="28"/>
        </w:rPr>
        <w:t xml:space="preserve">предлагает обеспечить четкое и последовательное использование терминологии в рейтингах </w:t>
      </w:r>
      <w:r w:rsidR="00937498" w:rsidRPr="004C7EA0">
        <w:rPr>
          <w:rFonts w:ascii="Times New Roman" w:hAnsi="Times New Roman" w:cs="Times New Roman"/>
          <w:color w:val="000000" w:themeColor="text1"/>
          <w:sz w:val="28"/>
          <w:szCs w:val="28"/>
          <w:lang w:val="en-US"/>
        </w:rPr>
        <w:t>ESG</w:t>
      </w:r>
      <w:r w:rsidR="00937498" w:rsidRPr="004C7EA0">
        <w:rPr>
          <w:rFonts w:ascii="Times New Roman" w:hAnsi="Times New Roman" w:cs="Times New Roman"/>
          <w:color w:val="000000" w:themeColor="text1"/>
          <w:sz w:val="28"/>
          <w:szCs w:val="28"/>
        </w:rPr>
        <w:t xml:space="preserve">. В частности, закрепить правило, согласно которому рейтинговые продукты </w:t>
      </w:r>
      <w:r w:rsidR="00937498" w:rsidRPr="004C7EA0">
        <w:rPr>
          <w:rFonts w:ascii="Times New Roman" w:hAnsi="Times New Roman" w:cs="Times New Roman"/>
          <w:color w:val="000000" w:themeColor="text1"/>
          <w:sz w:val="28"/>
          <w:szCs w:val="28"/>
          <w:lang w:val="en-US"/>
        </w:rPr>
        <w:t>ESG</w:t>
      </w:r>
      <w:r w:rsidR="00937498" w:rsidRPr="004C7EA0">
        <w:rPr>
          <w:rFonts w:ascii="Times New Roman" w:hAnsi="Times New Roman" w:cs="Times New Roman"/>
          <w:color w:val="000000" w:themeColor="text1"/>
          <w:sz w:val="28"/>
          <w:szCs w:val="28"/>
        </w:rPr>
        <w:t xml:space="preserve"> могут называться исключительно «Рейтингами корпоративного риска </w:t>
      </w:r>
      <w:r w:rsidR="00937498" w:rsidRPr="004C7EA0">
        <w:rPr>
          <w:rFonts w:ascii="Times New Roman" w:hAnsi="Times New Roman" w:cs="Times New Roman"/>
          <w:color w:val="000000" w:themeColor="text1"/>
          <w:sz w:val="28"/>
          <w:szCs w:val="28"/>
          <w:lang w:val="en-US"/>
        </w:rPr>
        <w:t>ESG</w:t>
      </w:r>
      <w:r w:rsidR="00937498" w:rsidRPr="004C7EA0">
        <w:rPr>
          <w:rFonts w:ascii="Times New Roman" w:hAnsi="Times New Roman" w:cs="Times New Roman"/>
          <w:color w:val="000000" w:themeColor="text1"/>
          <w:sz w:val="28"/>
          <w:szCs w:val="28"/>
        </w:rPr>
        <w:t xml:space="preserve">» или «Рейтингами финансового риска </w:t>
      </w:r>
      <w:r w:rsidR="00937498" w:rsidRPr="004C7EA0">
        <w:rPr>
          <w:rFonts w:ascii="Times New Roman" w:hAnsi="Times New Roman" w:cs="Times New Roman"/>
          <w:color w:val="000000" w:themeColor="text1"/>
          <w:sz w:val="28"/>
          <w:szCs w:val="28"/>
          <w:lang w:val="en-US"/>
        </w:rPr>
        <w:t>ESG</w:t>
      </w:r>
      <w:r w:rsidR="00937498" w:rsidRPr="004C7EA0">
        <w:rPr>
          <w:rFonts w:ascii="Times New Roman" w:hAnsi="Times New Roman" w:cs="Times New Roman"/>
          <w:color w:val="000000" w:themeColor="text1"/>
          <w:sz w:val="28"/>
          <w:szCs w:val="28"/>
        </w:rPr>
        <w:t xml:space="preserve">» для того, чтобы можно было отличать их от «Рейтингов воздействия </w:t>
      </w:r>
      <w:r w:rsidR="00937498" w:rsidRPr="004C7EA0">
        <w:rPr>
          <w:rFonts w:ascii="Times New Roman" w:hAnsi="Times New Roman" w:cs="Times New Roman"/>
          <w:color w:val="000000" w:themeColor="text1"/>
          <w:sz w:val="28"/>
          <w:szCs w:val="28"/>
          <w:lang w:val="en-US"/>
        </w:rPr>
        <w:t>ESG</w:t>
      </w:r>
      <w:r w:rsidR="00937498" w:rsidRPr="004C7EA0">
        <w:rPr>
          <w:rFonts w:ascii="Times New Roman" w:hAnsi="Times New Roman" w:cs="Times New Roman"/>
          <w:color w:val="000000" w:themeColor="text1"/>
          <w:sz w:val="28"/>
          <w:szCs w:val="28"/>
        </w:rPr>
        <w:t xml:space="preserve">».  </w:t>
      </w:r>
      <w:r w:rsidR="0086235F" w:rsidRPr="004C7EA0">
        <w:rPr>
          <w:rFonts w:ascii="Times New Roman" w:hAnsi="Times New Roman" w:cs="Times New Roman"/>
          <w:color w:val="000000" w:themeColor="text1"/>
          <w:sz w:val="28"/>
          <w:szCs w:val="28"/>
        </w:rPr>
        <w:t xml:space="preserve">Также в целях </w:t>
      </w:r>
      <w:proofErr w:type="gramStart"/>
      <w:r w:rsidR="0086235F" w:rsidRPr="004C7EA0">
        <w:rPr>
          <w:rFonts w:ascii="Times New Roman" w:hAnsi="Times New Roman" w:cs="Times New Roman"/>
          <w:color w:val="000000" w:themeColor="text1"/>
          <w:sz w:val="28"/>
          <w:szCs w:val="28"/>
        </w:rPr>
        <w:t>повышения  прозрачности</w:t>
      </w:r>
      <w:proofErr w:type="gramEnd"/>
      <w:r w:rsidR="0086235F" w:rsidRPr="004C7EA0">
        <w:rPr>
          <w:rFonts w:ascii="Times New Roman" w:hAnsi="Times New Roman" w:cs="Times New Roman"/>
          <w:color w:val="000000" w:themeColor="text1"/>
          <w:sz w:val="28"/>
          <w:szCs w:val="28"/>
        </w:rPr>
        <w:t xml:space="preserve"> </w:t>
      </w:r>
      <w:r w:rsidR="0086235F" w:rsidRPr="004C7EA0">
        <w:rPr>
          <w:rFonts w:ascii="Times New Roman" w:hAnsi="Times New Roman" w:cs="Times New Roman"/>
          <w:color w:val="000000" w:themeColor="text1"/>
          <w:sz w:val="28"/>
          <w:szCs w:val="28"/>
          <w:lang w:val="en-US"/>
        </w:rPr>
        <w:t>ESG</w:t>
      </w:r>
      <w:r w:rsidR="0086235F" w:rsidRPr="004C7EA0">
        <w:rPr>
          <w:rFonts w:ascii="Times New Roman" w:hAnsi="Times New Roman" w:cs="Times New Roman"/>
          <w:color w:val="000000" w:themeColor="text1"/>
          <w:sz w:val="28"/>
          <w:szCs w:val="28"/>
        </w:rPr>
        <w:t xml:space="preserve">-рейтингов в целом в документе Республики Индии предлагаются такие способы повышения, как обязательное опубликование информации на веб-сайте провайдера и в его рейтинговых </w:t>
      </w:r>
      <w:r w:rsidR="0086235F" w:rsidRPr="004C7EA0">
        <w:rPr>
          <w:rFonts w:ascii="Times New Roman" w:hAnsi="Times New Roman" w:cs="Times New Roman"/>
          <w:color w:val="000000" w:themeColor="text1"/>
          <w:sz w:val="28"/>
          <w:szCs w:val="28"/>
          <w:lang w:val="en-US"/>
        </w:rPr>
        <w:t>ESG</w:t>
      </w:r>
      <w:r w:rsidR="0086235F" w:rsidRPr="004C7EA0">
        <w:rPr>
          <w:rFonts w:ascii="Times New Roman" w:hAnsi="Times New Roman" w:cs="Times New Roman"/>
          <w:color w:val="000000" w:themeColor="text1"/>
          <w:sz w:val="28"/>
          <w:szCs w:val="28"/>
        </w:rPr>
        <w:t>-отчетах.</w:t>
      </w:r>
    </w:p>
    <w:p w14:paraId="22ABB543" w14:textId="77777777" w:rsidR="0086235F" w:rsidRPr="004C7EA0" w:rsidRDefault="003E380C" w:rsidP="00F90684">
      <w:pPr>
        <w:spacing w:after="0" w:line="24" w:lineRule="atLeast"/>
        <w:ind w:firstLine="709"/>
        <w:contextualSpacing/>
        <w:jc w:val="both"/>
        <w:rPr>
          <w:rFonts w:ascii="Times New Roman" w:eastAsia="Times New Roman" w:hAnsi="Times New Roman" w:cs="Times New Roman"/>
          <w:color w:val="000000" w:themeColor="text1"/>
          <w:sz w:val="28"/>
          <w:szCs w:val="28"/>
          <w:lang w:eastAsia="ru-RU"/>
        </w:rPr>
      </w:pPr>
      <w:r w:rsidRPr="004C7EA0">
        <w:rPr>
          <w:rFonts w:ascii="Times New Roman" w:eastAsia="Times New Roman" w:hAnsi="Times New Roman" w:cs="Times New Roman"/>
          <w:color w:val="000000" w:themeColor="text1"/>
          <w:sz w:val="28"/>
          <w:szCs w:val="28"/>
          <w:lang w:eastAsia="ru-RU"/>
        </w:rPr>
        <w:t xml:space="preserve">Наконец, </w:t>
      </w:r>
      <w:r w:rsidR="0086235F" w:rsidRPr="004C7EA0">
        <w:rPr>
          <w:rFonts w:ascii="Times New Roman" w:eastAsia="Times New Roman" w:hAnsi="Times New Roman" w:cs="Times New Roman"/>
          <w:color w:val="000000" w:themeColor="text1"/>
          <w:sz w:val="28"/>
          <w:szCs w:val="28"/>
          <w:lang w:eastAsia="ru-RU"/>
        </w:rPr>
        <w:t>ОЭСР</w:t>
      </w:r>
      <w:r w:rsidRPr="004C7EA0">
        <w:rPr>
          <w:rFonts w:ascii="Times New Roman" w:eastAsia="Times New Roman" w:hAnsi="Times New Roman" w:cs="Times New Roman"/>
          <w:color w:val="000000" w:themeColor="text1"/>
          <w:sz w:val="28"/>
          <w:szCs w:val="28"/>
          <w:lang w:eastAsia="ru-RU"/>
        </w:rPr>
        <w:t xml:space="preserve"> настаивает на должном использовании</w:t>
      </w:r>
      <w:r w:rsidR="008C2C46" w:rsidRPr="004C7EA0">
        <w:rPr>
          <w:rFonts w:ascii="Times New Roman" w:eastAsia="Times New Roman" w:hAnsi="Times New Roman" w:cs="Times New Roman"/>
          <w:color w:val="000000" w:themeColor="text1"/>
          <w:sz w:val="28"/>
          <w:szCs w:val="28"/>
          <w:lang w:eastAsia="ru-RU"/>
        </w:rPr>
        <w:t xml:space="preserve"> отдельных компонентов </w:t>
      </w:r>
      <w:r w:rsidRPr="004C7EA0">
        <w:rPr>
          <w:rFonts w:ascii="Times New Roman" w:eastAsia="Times New Roman" w:hAnsi="Times New Roman" w:cs="Times New Roman"/>
          <w:color w:val="000000" w:themeColor="text1"/>
          <w:sz w:val="28"/>
          <w:szCs w:val="28"/>
          <w:lang w:eastAsia="ru-RU"/>
        </w:rPr>
        <w:t>рейтинга, объяснении</w:t>
      </w:r>
      <w:r w:rsidR="008C2C46" w:rsidRPr="004C7EA0">
        <w:rPr>
          <w:rFonts w:ascii="Times New Roman" w:eastAsia="Times New Roman" w:hAnsi="Times New Roman" w:cs="Times New Roman"/>
          <w:color w:val="000000" w:themeColor="text1"/>
          <w:sz w:val="28"/>
          <w:szCs w:val="28"/>
          <w:lang w:eastAsia="ru-RU"/>
        </w:rPr>
        <w:t xml:space="preserve"> провайдерами способов их возможного </w:t>
      </w:r>
      <w:r w:rsidR="008C2C46" w:rsidRPr="004C7EA0">
        <w:rPr>
          <w:rFonts w:ascii="Times New Roman" w:eastAsia="Times New Roman" w:hAnsi="Times New Roman" w:cs="Times New Roman"/>
          <w:color w:val="000000" w:themeColor="text1"/>
          <w:sz w:val="28"/>
          <w:szCs w:val="28"/>
          <w:lang w:eastAsia="ru-RU"/>
        </w:rPr>
        <w:lastRenderedPageBreak/>
        <w:t>применения</w:t>
      </w:r>
      <w:r w:rsidRPr="004C7EA0">
        <w:rPr>
          <w:rFonts w:ascii="Times New Roman" w:eastAsia="Times New Roman" w:hAnsi="Times New Roman" w:cs="Times New Roman"/>
          <w:color w:val="000000" w:themeColor="text1"/>
          <w:sz w:val="28"/>
          <w:szCs w:val="28"/>
          <w:lang w:eastAsia="ru-RU"/>
        </w:rPr>
        <w:t xml:space="preserve"> и на поощрении </w:t>
      </w:r>
      <w:r w:rsidR="008C2C46" w:rsidRPr="004C7EA0">
        <w:rPr>
          <w:rFonts w:ascii="Times New Roman" w:eastAsia="Times New Roman" w:hAnsi="Times New Roman" w:cs="Times New Roman"/>
          <w:color w:val="000000" w:themeColor="text1"/>
          <w:sz w:val="28"/>
          <w:szCs w:val="28"/>
          <w:lang w:eastAsia="ru-RU"/>
        </w:rPr>
        <w:t>прозрачности и сопоставимости факторов, связанных с климатом, в экологическом (E)</w:t>
      </w:r>
      <w:r w:rsidRPr="004C7EA0">
        <w:rPr>
          <w:rFonts w:ascii="Times New Roman" w:eastAsia="Times New Roman" w:hAnsi="Times New Roman" w:cs="Times New Roman"/>
          <w:color w:val="000000" w:themeColor="text1"/>
          <w:sz w:val="28"/>
          <w:szCs w:val="28"/>
          <w:lang w:eastAsia="ru-RU"/>
        </w:rPr>
        <w:t xml:space="preserve"> компоненте и поощрении </w:t>
      </w:r>
      <w:r w:rsidR="008C2C46" w:rsidRPr="004C7EA0">
        <w:rPr>
          <w:rFonts w:ascii="Times New Roman" w:eastAsia="Times New Roman" w:hAnsi="Times New Roman" w:cs="Times New Roman"/>
          <w:color w:val="000000" w:themeColor="text1"/>
          <w:sz w:val="28"/>
          <w:szCs w:val="28"/>
          <w:lang w:eastAsia="ru-RU"/>
        </w:rPr>
        <w:t>повышения качества и целостности показателей, используемых поставщиками рейтингов ESG для достижения целей, связанных с климатом</w:t>
      </w:r>
      <w:r w:rsidRPr="004C7EA0">
        <w:rPr>
          <w:rFonts w:ascii="Times New Roman" w:eastAsia="Times New Roman" w:hAnsi="Times New Roman" w:cs="Times New Roman"/>
          <w:color w:val="000000" w:themeColor="text1"/>
          <w:sz w:val="28"/>
          <w:szCs w:val="28"/>
          <w:lang w:eastAsia="ru-RU"/>
        </w:rPr>
        <w:t>.</w:t>
      </w:r>
    </w:p>
    <w:p w14:paraId="305587E2" w14:textId="77777777" w:rsidR="008C2C46" w:rsidRPr="004C7EA0" w:rsidRDefault="008C2C46"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r w:rsidRPr="004C7EA0">
        <w:rPr>
          <w:rFonts w:ascii="Times New Roman" w:eastAsia="Times New Roman" w:hAnsi="Times New Roman" w:cs="Times New Roman"/>
          <w:color w:val="000000" w:themeColor="text1"/>
          <w:sz w:val="28"/>
          <w:szCs w:val="28"/>
          <w:lang w:eastAsia="ru-RU"/>
        </w:rPr>
        <w:t xml:space="preserve">Уникальность подхода </w:t>
      </w:r>
      <w:r w:rsidR="003E380C" w:rsidRPr="004C7EA0">
        <w:rPr>
          <w:rFonts w:ascii="Times New Roman" w:eastAsia="Times New Roman" w:hAnsi="Times New Roman" w:cs="Times New Roman"/>
          <w:color w:val="000000" w:themeColor="text1"/>
          <w:sz w:val="28"/>
          <w:szCs w:val="28"/>
          <w:lang w:val="en-US" w:eastAsia="ru-RU"/>
        </w:rPr>
        <w:t>IOSCO</w:t>
      </w:r>
      <w:r w:rsidR="00485711" w:rsidRPr="004C7EA0">
        <w:rPr>
          <w:rStyle w:val="FootnoteReference"/>
          <w:rFonts w:ascii="Times New Roman" w:eastAsia="Times New Roman" w:hAnsi="Times New Roman" w:cs="Times New Roman"/>
          <w:color w:val="000000" w:themeColor="text1"/>
          <w:sz w:val="28"/>
          <w:szCs w:val="28"/>
          <w:lang w:val="en-US" w:eastAsia="ru-RU"/>
        </w:rPr>
        <w:footnoteReference w:id="7"/>
      </w:r>
      <w:r w:rsidRPr="004C7EA0">
        <w:rPr>
          <w:rFonts w:ascii="Times New Roman" w:eastAsia="Times New Roman" w:hAnsi="Times New Roman" w:cs="Times New Roman"/>
          <w:color w:val="000000" w:themeColor="text1"/>
          <w:sz w:val="28"/>
          <w:szCs w:val="28"/>
          <w:lang w:eastAsia="ru-RU"/>
        </w:rPr>
        <w:t xml:space="preserve"> </w:t>
      </w:r>
      <w:r w:rsidR="003E380C" w:rsidRPr="004C7EA0">
        <w:rPr>
          <w:rFonts w:ascii="Times New Roman" w:eastAsia="Times New Roman" w:hAnsi="Times New Roman" w:cs="Times New Roman"/>
          <w:color w:val="000000" w:themeColor="text1"/>
          <w:sz w:val="28"/>
          <w:szCs w:val="28"/>
          <w:lang w:eastAsia="ru-RU"/>
        </w:rPr>
        <w:t xml:space="preserve">в данном </w:t>
      </w:r>
      <w:proofErr w:type="gramStart"/>
      <w:r w:rsidR="003E380C" w:rsidRPr="004C7EA0">
        <w:rPr>
          <w:rFonts w:ascii="Times New Roman" w:eastAsia="Times New Roman" w:hAnsi="Times New Roman" w:cs="Times New Roman"/>
          <w:color w:val="000000" w:themeColor="text1"/>
          <w:sz w:val="28"/>
          <w:szCs w:val="28"/>
          <w:lang w:eastAsia="ru-RU"/>
        </w:rPr>
        <w:t xml:space="preserve">отношении  </w:t>
      </w:r>
      <w:r w:rsidRPr="004C7EA0">
        <w:rPr>
          <w:rFonts w:ascii="Times New Roman" w:eastAsia="Times New Roman" w:hAnsi="Times New Roman" w:cs="Times New Roman"/>
          <w:color w:val="000000" w:themeColor="text1"/>
          <w:sz w:val="28"/>
          <w:szCs w:val="28"/>
          <w:lang w:eastAsia="ru-RU"/>
        </w:rPr>
        <w:t>заключается</w:t>
      </w:r>
      <w:proofErr w:type="gramEnd"/>
      <w:r w:rsidRPr="004C7EA0">
        <w:rPr>
          <w:rFonts w:ascii="Times New Roman" w:eastAsia="Times New Roman" w:hAnsi="Times New Roman" w:cs="Times New Roman"/>
          <w:color w:val="000000" w:themeColor="text1"/>
          <w:sz w:val="28"/>
          <w:szCs w:val="28"/>
          <w:lang w:eastAsia="ru-RU"/>
        </w:rPr>
        <w:t xml:space="preserve"> в том, что </w:t>
      </w:r>
      <w:r w:rsidR="003E380C" w:rsidRPr="004C7EA0">
        <w:rPr>
          <w:rFonts w:ascii="Times New Roman" w:eastAsia="Times New Roman" w:hAnsi="Times New Roman" w:cs="Times New Roman"/>
          <w:color w:val="000000" w:themeColor="text1"/>
          <w:sz w:val="28"/>
          <w:szCs w:val="28"/>
          <w:lang w:eastAsia="ru-RU"/>
        </w:rPr>
        <w:t>организация</w:t>
      </w:r>
      <w:r w:rsidRPr="004C7EA0">
        <w:rPr>
          <w:rFonts w:ascii="Times New Roman" w:eastAsia="Times New Roman" w:hAnsi="Times New Roman" w:cs="Times New Roman"/>
          <w:color w:val="000000" w:themeColor="text1"/>
          <w:sz w:val="28"/>
          <w:szCs w:val="28"/>
          <w:lang w:eastAsia="ru-RU"/>
        </w:rPr>
        <w:t xml:space="preserve"> предлагает ввести четкую маркировку рейтингов ESG и продуктов данных, чтобы пользователь мог понять предполагаемое назначение, включая цель измерения. Также </w:t>
      </w:r>
      <w:r w:rsidR="003E380C" w:rsidRPr="004C7EA0">
        <w:rPr>
          <w:rFonts w:ascii="Times New Roman" w:eastAsia="Times New Roman" w:hAnsi="Times New Roman" w:cs="Times New Roman"/>
          <w:color w:val="000000" w:themeColor="text1"/>
          <w:sz w:val="28"/>
          <w:szCs w:val="28"/>
          <w:lang w:eastAsia="ru-RU"/>
        </w:rPr>
        <w:t xml:space="preserve">она </w:t>
      </w:r>
      <w:r w:rsidRPr="004C7EA0">
        <w:rPr>
          <w:rFonts w:ascii="Times New Roman" w:eastAsia="Times New Roman" w:hAnsi="Times New Roman" w:cs="Times New Roman"/>
          <w:color w:val="000000" w:themeColor="text1"/>
          <w:sz w:val="28"/>
          <w:szCs w:val="28"/>
          <w:lang w:eastAsia="ru-RU"/>
        </w:rPr>
        <w:t xml:space="preserve">уделяет особое внимание </w:t>
      </w:r>
      <w:r w:rsidR="003E380C" w:rsidRPr="004C7EA0">
        <w:rPr>
          <w:rFonts w:ascii="Times New Roman" w:eastAsia="Times New Roman" w:hAnsi="Times New Roman" w:cs="Times New Roman"/>
          <w:color w:val="000000" w:themeColor="text1"/>
          <w:sz w:val="28"/>
          <w:szCs w:val="28"/>
          <w:lang w:eastAsia="ru-RU"/>
        </w:rPr>
        <w:t xml:space="preserve">проблеме </w:t>
      </w:r>
      <w:r w:rsidR="0086235F" w:rsidRPr="004C7EA0">
        <w:rPr>
          <w:rFonts w:ascii="Times New Roman" w:eastAsia="Times New Roman" w:hAnsi="Times New Roman" w:cs="Times New Roman"/>
          <w:color w:val="000000" w:themeColor="text1"/>
          <w:sz w:val="28"/>
          <w:szCs w:val="28"/>
          <w:lang w:eastAsia="ru-RU"/>
        </w:rPr>
        <w:t>возможного</w:t>
      </w:r>
      <w:r w:rsidR="003E380C" w:rsidRPr="004C7EA0">
        <w:rPr>
          <w:rFonts w:ascii="Times New Roman" w:eastAsia="Times New Roman" w:hAnsi="Times New Roman" w:cs="Times New Roman"/>
          <w:color w:val="000000" w:themeColor="text1"/>
          <w:sz w:val="28"/>
          <w:szCs w:val="28"/>
          <w:lang w:eastAsia="ru-RU"/>
        </w:rPr>
        <w:t xml:space="preserve"> возникновения </w:t>
      </w:r>
      <w:r w:rsidRPr="004C7EA0">
        <w:rPr>
          <w:rFonts w:ascii="Times New Roman" w:eastAsia="Times New Roman" w:hAnsi="Times New Roman" w:cs="Times New Roman"/>
          <w:color w:val="000000" w:themeColor="text1"/>
          <w:sz w:val="28"/>
          <w:szCs w:val="28"/>
          <w:lang w:eastAsia="ru-RU"/>
        </w:rPr>
        <w:t>конфликт</w:t>
      </w:r>
      <w:r w:rsidR="003E380C" w:rsidRPr="004C7EA0">
        <w:rPr>
          <w:rFonts w:ascii="Times New Roman" w:eastAsia="Times New Roman" w:hAnsi="Times New Roman" w:cs="Times New Roman"/>
          <w:color w:val="000000" w:themeColor="text1"/>
          <w:sz w:val="28"/>
          <w:szCs w:val="28"/>
          <w:lang w:eastAsia="ru-RU"/>
        </w:rPr>
        <w:t>а</w:t>
      </w:r>
      <w:r w:rsidRPr="004C7EA0">
        <w:rPr>
          <w:rFonts w:ascii="Times New Roman" w:eastAsia="Times New Roman" w:hAnsi="Times New Roman" w:cs="Times New Roman"/>
          <w:color w:val="000000" w:themeColor="text1"/>
          <w:sz w:val="28"/>
          <w:szCs w:val="28"/>
          <w:lang w:eastAsia="ru-RU"/>
        </w:rPr>
        <w:t xml:space="preserve"> интересов, предлагая </w:t>
      </w:r>
      <w:r w:rsidR="003E380C" w:rsidRPr="004C7EA0">
        <w:rPr>
          <w:rFonts w:ascii="Times New Roman" w:eastAsia="Times New Roman" w:hAnsi="Times New Roman" w:cs="Times New Roman"/>
          <w:color w:val="000000" w:themeColor="text1"/>
          <w:sz w:val="28"/>
          <w:szCs w:val="28"/>
          <w:lang w:eastAsia="ru-RU"/>
        </w:rPr>
        <w:t xml:space="preserve">в целях ее преодоления введение провайдерами </w:t>
      </w:r>
      <w:r w:rsidR="00937498" w:rsidRPr="004C7EA0">
        <w:rPr>
          <w:rFonts w:ascii="Times New Roman" w:eastAsia="Times New Roman" w:hAnsi="Times New Roman" w:cs="Times New Roman"/>
          <w:color w:val="000000" w:themeColor="text1"/>
          <w:sz w:val="28"/>
          <w:szCs w:val="28"/>
        </w:rPr>
        <w:t>специальных механизмов</w:t>
      </w:r>
      <w:r w:rsidRPr="004C7EA0">
        <w:rPr>
          <w:rFonts w:ascii="Times New Roman" w:eastAsia="Times New Roman" w:hAnsi="Times New Roman" w:cs="Times New Roman"/>
          <w:color w:val="000000" w:themeColor="text1"/>
          <w:sz w:val="28"/>
          <w:szCs w:val="28"/>
        </w:rPr>
        <w:t xml:space="preserve"> предо</w:t>
      </w:r>
      <w:r w:rsidR="0086235F" w:rsidRPr="004C7EA0">
        <w:rPr>
          <w:rFonts w:ascii="Times New Roman" w:eastAsia="Times New Roman" w:hAnsi="Times New Roman" w:cs="Times New Roman"/>
          <w:color w:val="000000" w:themeColor="text1"/>
          <w:sz w:val="28"/>
          <w:szCs w:val="28"/>
        </w:rPr>
        <w:t xml:space="preserve">твращения конфликта интересов. </w:t>
      </w:r>
      <w:r w:rsidRPr="004C7EA0">
        <w:rPr>
          <w:rFonts w:ascii="Times New Roman" w:eastAsia="Times New Roman" w:hAnsi="Times New Roman" w:cs="Times New Roman"/>
          <w:color w:val="000000" w:themeColor="text1"/>
          <w:sz w:val="28"/>
          <w:szCs w:val="28"/>
        </w:rPr>
        <w:t xml:space="preserve">Например, установление брандмауэра между отделами продаж и оценки. </w:t>
      </w:r>
    </w:p>
    <w:p w14:paraId="5C4AB9F3" w14:textId="77777777" w:rsidR="008C2C46" w:rsidRPr="004C7EA0" w:rsidRDefault="0086235F" w:rsidP="00F90684">
      <w:pPr>
        <w:spacing w:after="0" w:line="24" w:lineRule="atLeast"/>
        <w:ind w:firstLine="709"/>
        <w:contextualSpacing/>
        <w:jc w:val="both"/>
        <w:rPr>
          <w:rFonts w:ascii="Times New Roman" w:hAnsi="Times New Roman" w:cs="Times New Roman"/>
          <w:color w:val="000000" w:themeColor="text1"/>
          <w:sz w:val="28"/>
          <w:szCs w:val="28"/>
        </w:rPr>
      </w:pPr>
      <w:r w:rsidRPr="004C7EA0">
        <w:rPr>
          <w:rFonts w:ascii="Times New Roman" w:hAnsi="Times New Roman" w:cs="Times New Roman"/>
          <w:color w:val="000000" w:themeColor="text1"/>
          <w:sz w:val="28"/>
          <w:szCs w:val="28"/>
        </w:rPr>
        <w:t>Таким образом, с</w:t>
      </w:r>
      <w:r w:rsidR="008C2C46" w:rsidRPr="004C7EA0">
        <w:rPr>
          <w:rFonts w:ascii="Times New Roman" w:hAnsi="Times New Roman" w:cs="Times New Roman"/>
          <w:color w:val="000000" w:themeColor="text1"/>
          <w:sz w:val="28"/>
          <w:szCs w:val="28"/>
        </w:rPr>
        <w:t xml:space="preserve">траны в своем большинстве сходятся во мнении о необходимости проведения разграничения между </w:t>
      </w:r>
      <w:r w:rsidR="008C2C46" w:rsidRPr="004C7EA0">
        <w:rPr>
          <w:rFonts w:ascii="Times New Roman" w:hAnsi="Times New Roman" w:cs="Times New Roman"/>
          <w:color w:val="000000" w:themeColor="text1"/>
          <w:sz w:val="28"/>
          <w:szCs w:val="28"/>
          <w:lang w:val="en-US"/>
        </w:rPr>
        <w:t>ESG</w:t>
      </w:r>
      <w:r w:rsidR="008C2C46" w:rsidRPr="004C7EA0">
        <w:rPr>
          <w:rFonts w:ascii="Times New Roman" w:hAnsi="Times New Roman" w:cs="Times New Roman"/>
          <w:color w:val="000000" w:themeColor="text1"/>
          <w:sz w:val="28"/>
          <w:szCs w:val="28"/>
        </w:rPr>
        <w:t xml:space="preserve"> рейтингами в зависимости от их цели и предмета оценки. </w:t>
      </w:r>
      <w:r w:rsidR="001C6342" w:rsidRPr="004C7EA0">
        <w:rPr>
          <w:rFonts w:ascii="Times New Roman" w:hAnsi="Times New Roman" w:cs="Times New Roman"/>
          <w:color w:val="000000" w:themeColor="text1"/>
          <w:sz w:val="28"/>
          <w:szCs w:val="28"/>
        </w:rPr>
        <w:t>Ш</w:t>
      </w:r>
      <w:r w:rsidR="008C2C46" w:rsidRPr="004C7EA0">
        <w:rPr>
          <w:rFonts w:ascii="Times New Roman" w:hAnsi="Times New Roman" w:cs="Times New Roman"/>
          <w:color w:val="000000" w:themeColor="text1"/>
          <w:sz w:val="28"/>
          <w:szCs w:val="28"/>
        </w:rPr>
        <w:t xml:space="preserve">ироко обсуждается проблема отсутствия не только единого определения, но и остальной терминологии, связанной с институтом </w:t>
      </w:r>
      <w:r w:rsidR="008C2C46" w:rsidRPr="004C7EA0">
        <w:rPr>
          <w:rFonts w:ascii="Times New Roman" w:hAnsi="Times New Roman" w:cs="Times New Roman"/>
          <w:color w:val="000000" w:themeColor="text1"/>
          <w:sz w:val="28"/>
          <w:szCs w:val="28"/>
          <w:lang w:val="en-US"/>
        </w:rPr>
        <w:t>ESG</w:t>
      </w:r>
      <w:r w:rsidR="008C2C46" w:rsidRPr="004C7EA0">
        <w:rPr>
          <w:rFonts w:ascii="Times New Roman" w:hAnsi="Times New Roman" w:cs="Times New Roman"/>
          <w:color w:val="000000" w:themeColor="text1"/>
          <w:sz w:val="28"/>
          <w:szCs w:val="28"/>
        </w:rPr>
        <w:t>-рейтингования, за счет чего среди инвесторов сохраняется риск непонимания отдельных элементов ме</w:t>
      </w:r>
      <w:r w:rsidR="001C6342" w:rsidRPr="004C7EA0">
        <w:rPr>
          <w:rFonts w:ascii="Times New Roman" w:hAnsi="Times New Roman" w:cs="Times New Roman"/>
          <w:color w:val="000000" w:themeColor="text1"/>
          <w:sz w:val="28"/>
          <w:szCs w:val="28"/>
        </w:rPr>
        <w:t xml:space="preserve">тодологий, </w:t>
      </w:r>
      <w:r w:rsidR="008C2C46" w:rsidRPr="004C7EA0">
        <w:rPr>
          <w:rFonts w:ascii="Times New Roman" w:hAnsi="Times New Roman" w:cs="Times New Roman"/>
          <w:color w:val="000000" w:themeColor="text1"/>
          <w:sz w:val="28"/>
          <w:szCs w:val="28"/>
        </w:rPr>
        <w:t>что в свою очередь может привести к нерациональному распределению инвестиций.</w:t>
      </w:r>
      <w:r w:rsidRPr="004C7EA0">
        <w:rPr>
          <w:rFonts w:ascii="Times New Roman" w:hAnsi="Times New Roman" w:cs="Times New Roman"/>
          <w:color w:val="000000" w:themeColor="text1"/>
          <w:sz w:val="28"/>
          <w:szCs w:val="28"/>
        </w:rPr>
        <w:t xml:space="preserve"> </w:t>
      </w:r>
      <w:r w:rsidR="001C6342" w:rsidRPr="004C7EA0">
        <w:rPr>
          <w:rFonts w:ascii="Times New Roman" w:hAnsi="Times New Roman" w:cs="Times New Roman"/>
          <w:color w:val="000000" w:themeColor="text1"/>
          <w:sz w:val="28"/>
          <w:szCs w:val="28"/>
        </w:rPr>
        <w:t>С</w:t>
      </w:r>
      <w:r w:rsidR="008C2C46" w:rsidRPr="004C7EA0">
        <w:rPr>
          <w:rFonts w:ascii="Times New Roman" w:hAnsi="Times New Roman" w:cs="Times New Roman"/>
          <w:color w:val="000000" w:themeColor="text1"/>
          <w:sz w:val="28"/>
          <w:szCs w:val="28"/>
        </w:rPr>
        <w:t>траны разделяют общую позицию, согласно которой необходимо предусмотреть необходимость раскрытия агентствами подобного рода информации, в том числе информацию о допущениях, сделанных в процессе формирования оценки, то есть когда данные были неполными, относительно достоверными и так далее</w:t>
      </w:r>
      <w:r w:rsidR="001C6342" w:rsidRPr="004C7EA0">
        <w:rPr>
          <w:rFonts w:ascii="Times New Roman" w:hAnsi="Times New Roman" w:cs="Times New Roman"/>
          <w:color w:val="000000" w:themeColor="text1"/>
          <w:sz w:val="28"/>
          <w:szCs w:val="28"/>
        </w:rPr>
        <w:t xml:space="preserve"> с соблюдением</w:t>
      </w:r>
      <w:r w:rsidR="008C2C46" w:rsidRPr="004C7EA0">
        <w:rPr>
          <w:rFonts w:ascii="Times New Roman" w:hAnsi="Times New Roman" w:cs="Times New Roman"/>
          <w:color w:val="000000" w:themeColor="text1"/>
          <w:sz w:val="28"/>
          <w:szCs w:val="28"/>
        </w:rPr>
        <w:t xml:space="preserve"> принципы конфиденциальности и проприетарности таких данных.</w:t>
      </w:r>
      <w:r w:rsidR="001C6342" w:rsidRPr="004C7EA0">
        <w:rPr>
          <w:rFonts w:ascii="Times New Roman" w:hAnsi="Times New Roman" w:cs="Times New Roman"/>
          <w:color w:val="000000" w:themeColor="text1"/>
          <w:sz w:val="28"/>
          <w:szCs w:val="28"/>
        </w:rPr>
        <w:t xml:space="preserve"> </w:t>
      </w:r>
      <w:r w:rsidRPr="004C7EA0">
        <w:rPr>
          <w:rFonts w:ascii="Times New Roman" w:hAnsi="Times New Roman" w:cs="Times New Roman"/>
          <w:color w:val="000000" w:themeColor="text1"/>
          <w:sz w:val="28"/>
          <w:szCs w:val="28"/>
        </w:rPr>
        <w:t>При этом д</w:t>
      </w:r>
      <w:r w:rsidR="008C2C46" w:rsidRPr="004C7EA0">
        <w:rPr>
          <w:rFonts w:ascii="Times New Roman" w:hAnsi="Times New Roman" w:cs="Times New Roman"/>
          <w:color w:val="000000" w:themeColor="text1"/>
          <w:sz w:val="28"/>
          <w:szCs w:val="28"/>
        </w:rPr>
        <w:t xml:space="preserve">ля преодоления </w:t>
      </w:r>
      <w:r w:rsidRPr="004C7EA0">
        <w:rPr>
          <w:rFonts w:ascii="Times New Roman" w:hAnsi="Times New Roman" w:cs="Times New Roman"/>
          <w:color w:val="000000" w:themeColor="text1"/>
          <w:sz w:val="28"/>
          <w:szCs w:val="28"/>
        </w:rPr>
        <w:t>р</w:t>
      </w:r>
      <w:r w:rsidR="008C2C46" w:rsidRPr="004C7EA0">
        <w:rPr>
          <w:rFonts w:ascii="Times New Roman" w:hAnsi="Times New Roman" w:cs="Times New Roman"/>
          <w:color w:val="000000" w:themeColor="text1"/>
          <w:sz w:val="28"/>
          <w:szCs w:val="28"/>
        </w:rPr>
        <w:t>азрыва между повышенным спросом на нефинансовую информацию и довольно огра</w:t>
      </w:r>
      <w:r w:rsidR="001C6342" w:rsidRPr="004C7EA0">
        <w:rPr>
          <w:rFonts w:ascii="Times New Roman" w:hAnsi="Times New Roman" w:cs="Times New Roman"/>
          <w:color w:val="000000" w:themeColor="text1"/>
          <w:sz w:val="28"/>
          <w:szCs w:val="28"/>
        </w:rPr>
        <w:t xml:space="preserve">ниченным предложением </w:t>
      </w:r>
      <w:r w:rsidR="008C2C46" w:rsidRPr="004C7EA0">
        <w:rPr>
          <w:rFonts w:ascii="Times New Roman" w:hAnsi="Times New Roman" w:cs="Times New Roman"/>
          <w:color w:val="000000" w:themeColor="text1"/>
          <w:sz w:val="28"/>
          <w:szCs w:val="28"/>
        </w:rPr>
        <w:t>многие страны в настоящее время активно вводят обязательные правила раскрытия</w:t>
      </w:r>
      <w:r w:rsidR="001C6342" w:rsidRPr="004C7EA0">
        <w:rPr>
          <w:rFonts w:ascii="Times New Roman" w:hAnsi="Times New Roman" w:cs="Times New Roman"/>
          <w:color w:val="000000" w:themeColor="text1"/>
          <w:sz w:val="28"/>
          <w:szCs w:val="28"/>
        </w:rPr>
        <w:t xml:space="preserve"> </w:t>
      </w:r>
      <w:r w:rsidR="001C6342" w:rsidRPr="004C7EA0">
        <w:rPr>
          <w:rFonts w:ascii="Times New Roman" w:hAnsi="Times New Roman" w:cs="Times New Roman"/>
          <w:color w:val="000000" w:themeColor="text1"/>
          <w:sz w:val="28"/>
          <w:szCs w:val="28"/>
          <w:lang w:val="en-US"/>
        </w:rPr>
        <w:t>ESG</w:t>
      </w:r>
      <w:r w:rsidR="001C6342" w:rsidRPr="004C7EA0">
        <w:rPr>
          <w:rFonts w:ascii="Times New Roman" w:hAnsi="Times New Roman" w:cs="Times New Roman"/>
          <w:color w:val="000000" w:themeColor="text1"/>
          <w:sz w:val="28"/>
          <w:szCs w:val="28"/>
        </w:rPr>
        <w:t>-</w:t>
      </w:r>
      <w:r w:rsidR="008C2C46" w:rsidRPr="004C7EA0">
        <w:rPr>
          <w:rFonts w:ascii="Times New Roman" w:hAnsi="Times New Roman" w:cs="Times New Roman"/>
          <w:color w:val="000000" w:themeColor="text1"/>
          <w:sz w:val="28"/>
          <w:szCs w:val="28"/>
        </w:rPr>
        <w:t>информации</w:t>
      </w:r>
      <w:r w:rsidR="001C6342" w:rsidRPr="004C7EA0">
        <w:rPr>
          <w:rFonts w:ascii="Times New Roman" w:hAnsi="Times New Roman" w:cs="Times New Roman"/>
          <w:color w:val="000000" w:themeColor="text1"/>
          <w:sz w:val="28"/>
          <w:szCs w:val="28"/>
        </w:rPr>
        <w:t xml:space="preserve">. </w:t>
      </w:r>
      <w:r w:rsidRPr="004C7EA0">
        <w:rPr>
          <w:rFonts w:ascii="Times New Roman" w:hAnsi="Times New Roman" w:cs="Times New Roman"/>
          <w:color w:val="000000" w:themeColor="text1"/>
          <w:sz w:val="28"/>
          <w:szCs w:val="28"/>
        </w:rPr>
        <w:t>Так, по данным на 2021 год, уже</w:t>
      </w:r>
      <w:r w:rsidR="008975A4" w:rsidRPr="004C7EA0">
        <w:rPr>
          <w:rFonts w:ascii="Times New Roman" w:hAnsi="Times New Roman" w:cs="Times New Roman"/>
          <w:color w:val="000000" w:themeColor="text1"/>
          <w:sz w:val="28"/>
          <w:szCs w:val="28"/>
        </w:rPr>
        <w:t xml:space="preserve"> </w:t>
      </w:r>
      <w:r w:rsidR="001C6342" w:rsidRPr="004C7EA0">
        <w:rPr>
          <w:rFonts w:ascii="Times New Roman" w:hAnsi="Times New Roman" w:cs="Times New Roman"/>
          <w:color w:val="000000" w:themeColor="text1"/>
          <w:sz w:val="28"/>
          <w:szCs w:val="28"/>
        </w:rPr>
        <w:t>35 стран мира ввели мандаты на раскрытие информации ESG.</w:t>
      </w:r>
      <w:r w:rsidR="001C6342" w:rsidRPr="004C7EA0">
        <w:rPr>
          <w:rStyle w:val="FootnoteReference"/>
          <w:rFonts w:ascii="Times New Roman" w:hAnsi="Times New Roman" w:cs="Times New Roman"/>
          <w:color w:val="000000" w:themeColor="text1"/>
          <w:sz w:val="28"/>
          <w:szCs w:val="28"/>
        </w:rPr>
        <w:footnoteReference w:id="8"/>
      </w:r>
    </w:p>
    <w:p w14:paraId="39CC78BE" w14:textId="77777777" w:rsidR="008975A4" w:rsidRPr="004C7EA0" w:rsidRDefault="001C6342"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r w:rsidRPr="004C7EA0">
        <w:rPr>
          <w:rFonts w:ascii="Times New Roman" w:hAnsi="Times New Roman" w:cs="Times New Roman"/>
          <w:color w:val="000000" w:themeColor="text1"/>
          <w:sz w:val="28"/>
          <w:szCs w:val="28"/>
        </w:rPr>
        <w:t xml:space="preserve">В российской среде институт </w:t>
      </w:r>
      <w:r w:rsidRPr="004C7EA0">
        <w:rPr>
          <w:rFonts w:ascii="Times New Roman" w:hAnsi="Times New Roman" w:cs="Times New Roman"/>
          <w:color w:val="000000" w:themeColor="text1"/>
          <w:sz w:val="28"/>
          <w:szCs w:val="28"/>
          <w:lang w:val="en-US"/>
        </w:rPr>
        <w:t>ESG</w:t>
      </w:r>
      <w:r w:rsidRPr="004C7EA0">
        <w:rPr>
          <w:rFonts w:ascii="Times New Roman" w:hAnsi="Times New Roman" w:cs="Times New Roman"/>
          <w:color w:val="000000" w:themeColor="text1"/>
          <w:sz w:val="28"/>
          <w:szCs w:val="28"/>
        </w:rPr>
        <w:t>-рейтингования</w:t>
      </w:r>
      <w:r w:rsidR="008975A4" w:rsidRPr="004C7EA0">
        <w:rPr>
          <w:rFonts w:ascii="Times New Roman" w:hAnsi="Times New Roman" w:cs="Times New Roman"/>
          <w:color w:val="000000" w:themeColor="text1"/>
          <w:sz w:val="28"/>
          <w:szCs w:val="28"/>
        </w:rPr>
        <w:t xml:space="preserve">, а именно вопросы его регулирования </w:t>
      </w:r>
      <w:r w:rsidRPr="004C7EA0">
        <w:rPr>
          <w:rFonts w:ascii="Times New Roman" w:hAnsi="Times New Roman" w:cs="Times New Roman"/>
          <w:color w:val="000000" w:themeColor="text1"/>
          <w:sz w:val="28"/>
          <w:szCs w:val="28"/>
        </w:rPr>
        <w:t>также подве</w:t>
      </w:r>
      <w:r w:rsidR="008975A4" w:rsidRPr="004C7EA0">
        <w:rPr>
          <w:rFonts w:ascii="Times New Roman" w:hAnsi="Times New Roman" w:cs="Times New Roman"/>
          <w:color w:val="000000" w:themeColor="text1"/>
          <w:sz w:val="28"/>
          <w:szCs w:val="28"/>
        </w:rPr>
        <w:t xml:space="preserve">ргаются </w:t>
      </w:r>
      <w:r w:rsidRPr="004C7EA0">
        <w:rPr>
          <w:rFonts w:ascii="Times New Roman" w:hAnsi="Times New Roman" w:cs="Times New Roman"/>
          <w:color w:val="000000" w:themeColor="text1"/>
          <w:sz w:val="28"/>
          <w:szCs w:val="28"/>
        </w:rPr>
        <w:t>активному обсуждению в последнее время</w:t>
      </w:r>
      <w:r w:rsidR="008975A4" w:rsidRPr="004C7EA0">
        <w:rPr>
          <w:rFonts w:ascii="Times New Roman" w:hAnsi="Times New Roman" w:cs="Times New Roman"/>
          <w:color w:val="000000" w:themeColor="text1"/>
          <w:sz w:val="28"/>
          <w:szCs w:val="28"/>
        </w:rPr>
        <w:t>. Н</w:t>
      </w:r>
      <w:r w:rsidRPr="004C7EA0">
        <w:rPr>
          <w:rFonts w:ascii="Times New Roman" w:hAnsi="Times New Roman" w:cs="Times New Roman"/>
          <w:color w:val="000000" w:themeColor="text1"/>
          <w:sz w:val="28"/>
          <w:szCs w:val="28"/>
        </w:rPr>
        <w:t xml:space="preserve">а </w:t>
      </w:r>
      <w:r w:rsidR="008975A4" w:rsidRPr="004C7EA0">
        <w:rPr>
          <w:rFonts w:ascii="Times New Roman" w:hAnsi="Times New Roman" w:cs="Times New Roman"/>
          <w:color w:val="000000" w:themeColor="text1"/>
          <w:sz w:val="28"/>
          <w:szCs w:val="28"/>
        </w:rPr>
        <w:t xml:space="preserve">этом фоне </w:t>
      </w:r>
      <w:r w:rsidRPr="004C7EA0">
        <w:rPr>
          <w:rFonts w:ascii="Times New Roman" w:hAnsi="Times New Roman" w:cs="Times New Roman"/>
          <w:color w:val="000000" w:themeColor="text1"/>
          <w:sz w:val="28"/>
          <w:szCs w:val="28"/>
        </w:rPr>
        <w:t xml:space="preserve">Банк России выпустил Модельную методологию </w:t>
      </w:r>
      <w:r w:rsidRPr="004C7EA0">
        <w:rPr>
          <w:rFonts w:ascii="Times New Roman" w:hAnsi="Times New Roman" w:cs="Times New Roman"/>
          <w:color w:val="000000" w:themeColor="text1"/>
          <w:sz w:val="28"/>
          <w:szCs w:val="28"/>
          <w:lang w:val="en-US"/>
        </w:rPr>
        <w:t>ESG</w:t>
      </w:r>
      <w:r w:rsidRPr="004C7EA0">
        <w:rPr>
          <w:rFonts w:ascii="Times New Roman" w:hAnsi="Times New Roman" w:cs="Times New Roman"/>
          <w:color w:val="000000" w:themeColor="text1"/>
          <w:sz w:val="28"/>
          <w:szCs w:val="28"/>
        </w:rPr>
        <w:t>-рейтингов</w:t>
      </w:r>
      <w:r w:rsidR="008975A4" w:rsidRPr="004C7EA0">
        <w:rPr>
          <w:rFonts w:ascii="Times New Roman" w:hAnsi="Times New Roman" w:cs="Times New Roman"/>
          <w:color w:val="000000" w:themeColor="text1"/>
          <w:sz w:val="28"/>
          <w:szCs w:val="28"/>
        </w:rPr>
        <w:t xml:space="preserve"> в январе 2023 года,</w:t>
      </w:r>
      <w:r w:rsidRPr="004C7EA0">
        <w:rPr>
          <w:rFonts w:ascii="Times New Roman" w:hAnsi="Times New Roman" w:cs="Times New Roman"/>
          <w:color w:val="000000" w:themeColor="text1"/>
          <w:sz w:val="28"/>
          <w:szCs w:val="28"/>
        </w:rPr>
        <w:t xml:space="preserve"> в рамках которой в частности </w:t>
      </w:r>
      <w:r w:rsidR="008C2C46" w:rsidRPr="004C7EA0">
        <w:rPr>
          <w:rFonts w:ascii="Times New Roman" w:hAnsi="Times New Roman" w:cs="Times New Roman"/>
          <w:color w:val="000000" w:themeColor="text1"/>
          <w:sz w:val="28"/>
          <w:szCs w:val="28"/>
        </w:rPr>
        <w:t xml:space="preserve">заявил о том, что </w:t>
      </w:r>
      <w:r w:rsidR="008C2C46" w:rsidRPr="004C7EA0">
        <w:rPr>
          <w:rFonts w:ascii="Times New Roman" w:hAnsi="Times New Roman" w:cs="Times New Roman"/>
          <w:color w:val="000000" w:themeColor="text1"/>
          <w:sz w:val="28"/>
          <w:szCs w:val="28"/>
          <w:lang w:val="en-US"/>
        </w:rPr>
        <w:t>ESG</w:t>
      </w:r>
      <w:r w:rsidR="008C2C46" w:rsidRPr="004C7EA0">
        <w:rPr>
          <w:rFonts w:ascii="Times New Roman" w:hAnsi="Times New Roman" w:cs="Times New Roman"/>
          <w:color w:val="000000" w:themeColor="text1"/>
          <w:sz w:val="28"/>
          <w:szCs w:val="28"/>
        </w:rPr>
        <w:t xml:space="preserve"> рейтинги должны быть наглядны, прозр</w:t>
      </w:r>
      <w:r w:rsidR="008975A4" w:rsidRPr="004C7EA0">
        <w:rPr>
          <w:rFonts w:ascii="Times New Roman" w:hAnsi="Times New Roman" w:cs="Times New Roman"/>
          <w:color w:val="000000" w:themeColor="text1"/>
          <w:sz w:val="28"/>
          <w:szCs w:val="28"/>
        </w:rPr>
        <w:t>ачны и сопоставимы между собой.</w:t>
      </w:r>
      <w:r w:rsidR="00485711" w:rsidRPr="004C7EA0">
        <w:rPr>
          <w:rStyle w:val="FootnoteReference"/>
          <w:rFonts w:ascii="Times New Roman" w:hAnsi="Times New Roman" w:cs="Times New Roman"/>
          <w:color w:val="000000" w:themeColor="text1"/>
          <w:sz w:val="28"/>
          <w:szCs w:val="28"/>
        </w:rPr>
        <w:footnoteReference w:id="9"/>
      </w:r>
      <w:r w:rsidR="008975A4" w:rsidRPr="004C7EA0">
        <w:rPr>
          <w:rFonts w:ascii="Times New Roman" w:hAnsi="Times New Roman" w:cs="Times New Roman"/>
          <w:color w:val="000000" w:themeColor="text1"/>
          <w:sz w:val="28"/>
          <w:szCs w:val="28"/>
        </w:rPr>
        <w:t xml:space="preserve"> В данном документе также нашли отражение некоторые иные предложения об усовершенствовании российских </w:t>
      </w:r>
      <w:r w:rsidR="008975A4" w:rsidRPr="004C7EA0">
        <w:rPr>
          <w:rFonts w:ascii="Times New Roman" w:hAnsi="Times New Roman" w:cs="Times New Roman"/>
          <w:color w:val="000000" w:themeColor="text1"/>
          <w:sz w:val="28"/>
          <w:szCs w:val="28"/>
          <w:lang w:val="en-US"/>
        </w:rPr>
        <w:t>ESG</w:t>
      </w:r>
      <w:r w:rsidR="008975A4" w:rsidRPr="004C7EA0">
        <w:rPr>
          <w:rFonts w:ascii="Times New Roman" w:hAnsi="Times New Roman" w:cs="Times New Roman"/>
          <w:color w:val="000000" w:themeColor="text1"/>
          <w:sz w:val="28"/>
          <w:szCs w:val="28"/>
        </w:rPr>
        <w:t xml:space="preserve">-рейтингов. Стоит остановиться на них поподробнее. Во-первых, Банк России предложил </w:t>
      </w:r>
      <w:r w:rsidRPr="004C7EA0">
        <w:rPr>
          <w:rFonts w:ascii="Times New Roman" w:hAnsi="Times New Roman" w:cs="Times New Roman"/>
          <w:color w:val="000000" w:themeColor="text1"/>
          <w:sz w:val="28"/>
          <w:szCs w:val="28"/>
        </w:rPr>
        <w:t xml:space="preserve">разделять рейтинги на две категории: текущие рейтинги и рейтинги рисков. </w:t>
      </w:r>
      <w:r w:rsidR="008975A4" w:rsidRPr="004C7EA0">
        <w:rPr>
          <w:rFonts w:ascii="Times New Roman" w:hAnsi="Times New Roman" w:cs="Times New Roman"/>
          <w:color w:val="000000" w:themeColor="text1"/>
          <w:sz w:val="28"/>
          <w:szCs w:val="28"/>
        </w:rPr>
        <w:lastRenderedPageBreak/>
        <w:t>Во-вторых,</w:t>
      </w:r>
      <w:r w:rsidRPr="004C7EA0">
        <w:rPr>
          <w:rFonts w:ascii="Times New Roman" w:hAnsi="Times New Roman" w:cs="Times New Roman"/>
          <w:color w:val="000000" w:themeColor="text1"/>
          <w:sz w:val="28"/>
          <w:szCs w:val="28"/>
        </w:rPr>
        <w:t xml:space="preserve"> он</w:t>
      </w:r>
      <w:r w:rsidR="008975A4" w:rsidRPr="004C7EA0">
        <w:rPr>
          <w:rFonts w:ascii="Times New Roman" w:hAnsi="Times New Roman" w:cs="Times New Roman"/>
          <w:color w:val="000000" w:themeColor="text1"/>
          <w:sz w:val="28"/>
          <w:szCs w:val="28"/>
        </w:rPr>
        <w:t xml:space="preserve"> изложил рекомендацию лицам, оказывающим услуги по оценке устойчивого развития, согласно которой им следует разработать и опубликовать в открытом доступе методологию ESG-рейтингов, включая терминологию и оценку элементов каждой компоненты, раскрывать источники информации для каждого элемента. Также в Методологии нашли закрепление </w:t>
      </w:r>
      <w:r w:rsidRPr="004C7EA0">
        <w:rPr>
          <w:rFonts w:ascii="Times New Roman" w:hAnsi="Times New Roman" w:cs="Times New Roman"/>
          <w:color w:val="000000" w:themeColor="text1"/>
          <w:sz w:val="28"/>
          <w:szCs w:val="28"/>
        </w:rPr>
        <w:t xml:space="preserve">примерные элементы каждой из </w:t>
      </w:r>
      <w:r w:rsidR="008C2C46" w:rsidRPr="004C7EA0">
        <w:rPr>
          <w:rFonts w:ascii="Times New Roman" w:hAnsi="Times New Roman" w:cs="Times New Roman"/>
          <w:color w:val="000000" w:themeColor="text1"/>
          <w:sz w:val="28"/>
          <w:szCs w:val="28"/>
        </w:rPr>
        <w:t>трех компонент, которые должны будут подвергаться оценке рейтинговыми агентствами, а значит информация о которых преимущественно должна раскрываться российскими компаниями.</w:t>
      </w:r>
      <w:r w:rsidRPr="004C7EA0">
        <w:rPr>
          <w:rFonts w:ascii="Times New Roman" w:hAnsi="Times New Roman" w:cs="Times New Roman"/>
          <w:color w:val="000000" w:themeColor="text1"/>
          <w:sz w:val="28"/>
          <w:szCs w:val="28"/>
        </w:rPr>
        <w:t xml:space="preserve"> </w:t>
      </w:r>
      <w:r w:rsidR="008975A4" w:rsidRPr="004C7EA0">
        <w:rPr>
          <w:rFonts w:ascii="Times New Roman" w:hAnsi="Times New Roman" w:cs="Times New Roman"/>
          <w:color w:val="000000" w:themeColor="text1"/>
          <w:sz w:val="28"/>
          <w:szCs w:val="28"/>
        </w:rPr>
        <w:t>При этом Банк России также выразил поддержку компонентных рейтингов, в связи с ограниченной эффективностью и информативностью сводных. Также регулирующий орган обратил внимание на необходимость обеспечения провайдерами высокой квалификации и развития</w:t>
      </w:r>
      <w:r w:rsidR="008C2C46" w:rsidRPr="004C7EA0">
        <w:rPr>
          <w:rFonts w:ascii="Times New Roman" w:hAnsi="Times New Roman" w:cs="Times New Roman"/>
          <w:color w:val="000000" w:themeColor="text1"/>
          <w:sz w:val="28"/>
          <w:szCs w:val="28"/>
        </w:rPr>
        <w:t xml:space="preserve"> персонала</w:t>
      </w:r>
      <w:r w:rsidR="008975A4" w:rsidRPr="004C7EA0">
        <w:rPr>
          <w:rFonts w:ascii="Times New Roman" w:hAnsi="Times New Roman" w:cs="Times New Roman"/>
          <w:color w:val="000000" w:themeColor="text1"/>
          <w:sz w:val="28"/>
          <w:szCs w:val="28"/>
        </w:rPr>
        <w:t>, а также своей независимости и минимизации</w:t>
      </w:r>
      <w:r w:rsidR="008C2C46" w:rsidRPr="004C7EA0">
        <w:rPr>
          <w:rFonts w:ascii="Times New Roman" w:hAnsi="Times New Roman" w:cs="Times New Roman"/>
          <w:color w:val="000000" w:themeColor="text1"/>
          <w:sz w:val="28"/>
          <w:szCs w:val="28"/>
        </w:rPr>
        <w:t xml:space="preserve"> конфликтов интересов</w:t>
      </w:r>
      <w:r w:rsidR="008975A4" w:rsidRPr="004C7EA0">
        <w:rPr>
          <w:rFonts w:ascii="Times New Roman" w:hAnsi="Times New Roman" w:cs="Times New Roman"/>
          <w:color w:val="000000" w:themeColor="text1"/>
          <w:sz w:val="28"/>
          <w:szCs w:val="28"/>
        </w:rPr>
        <w:t>. В то же время к</w:t>
      </w:r>
      <w:r w:rsidR="008C2C46" w:rsidRPr="004C7EA0">
        <w:rPr>
          <w:rFonts w:ascii="Times New Roman" w:hAnsi="Times New Roman" w:cs="Times New Roman"/>
          <w:color w:val="000000" w:themeColor="text1"/>
          <w:sz w:val="28"/>
          <w:szCs w:val="28"/>
        </w:rPr>
        <w:t xml:space="preserve">оммуникация с пользователями и </w:t>
      </w:r>
      <w:proofErr w:type="spellStart"/>
      <w:r w:rsidR="008C2C46" w:rsidRPr="004C7EA0">
        <w:rPr>
          <w:rFonts w:ascii="Times New Roman" w:hAnsi="Times New Roman" w:cs="Times New Roman"/>
          <w:color w:val="000000" w:themeColor="text1"/>
          <w:sz w:val="28"/>
          <w:szCs w:val="28"/>
        </w:rPr>
        <w:t>рейтингуемыми</w:t>
      </w:r>
      <w:proofErr w:type="spellEnd"/>
      <w:r w:rsidR="008C2C46" w:rsidRPr="004C7EA0">
        <w:rPr>
          <w:rFonts w:ascii="Times New Roman" w:hAnsi="Times New Roman" w:cs="Times New Roman"/>
          <w:color w:val="000000" w:themeColor="text1"/>
          <w:sz w:val="28"/>
          <w:szCs w:val="28"/>
        </w:rPr>
        <w:t xml:space="preserve"> лицами</w:t>
      </w:r>
      <w:r w:rsidR="008975A4" w:rsidRPr="004C7EA0">
        <w:rPr>
          <w:rFonts w:ascii="Times New Roman" w:hAnsi="Times New Roman" w:cs="Times New Roman"/>
          <w:color w:val="000000" w:themeColor="text1"/>
          <w:sz w:val="28"/>
          <w:szCs w:val="28"/>
        </w:rPr>
        <w:t xml:space="preserve"> по мнению органа поможет повысить достоверность рейтингов.</w:t>
      </w:r>
    </w:p>
    <w:p w14:paraId="7440E637" w14:textId="77777777" w:rsidR="008975A4" w:rsidRPr="004C7EA0" w:rsidRDefault="001C6342" w:rsidP="00F90684">
      <w:pPr>
        <w:spacing w:after="0" w:line="24" w:lineRule="atLeast"/>
        <w:ind w:firstLine="709"/>
        <w:contextualSpacing/>
        <w:jc w:val="both"/>
        <w:rPr>
          <w:rFonts w:ascii="Times New Roman" w:hAnsi="Times New Roman" w:cs="Times New Roman"/>
          <w:color w:val="000000" w:themeColor="text1"/>
          <w:sz w:val="28"/>
          <w:szCs w:val="28"/>
        </w:rPr>
      </w:pPr>
      <w:r w:rsidRPr="004C7EA0">
        <w:rPr>
          <w:rFonts w:ascii="Times New Roman" w:hAnsi="Times New Roman" w:cs="Times New Roman"/>
          <w:color w:val="000000" w:themeColor="text1"/>
          <w:sz w:val="28"/>
          <w:szCs w:val="28"/>
        </w:rPr>
        <w:t xml:space="preserve">Таким образом, </w:t>
      </w:r>
      <w:r w:rsidR="008975A4" w:rsidRPr="004C7EA0">
        <w:rPr>
          <w:rFonts w:ascii="Times New Roman" w:hAnsi="Times New Roman" w:cs="Times New Roman"/>
          <w:color w:val="000000" w:themeColor="text1"/>
          <w:sz w:val="28"/>
          <w:szCs w:val="28"/>
        </w:rPr>
        <w:t xml:space="preserve">согласно всему вышесказанному, регулирующим органам Российской Федерации, в сотрудничестве с разработчиками стандартов, как Международный совет   по стандартам устойчивого развития, необходимо разработать специальный словарь, который бы охватывал все основные определения для поставщиков рейтингов ESG и прислушаться к призыву ОЭСР и IOSCO способствовать прозрачности института </w:t>
      </w:r>
      <w:r w:rsidR="008975A4" w:rsidRPr="004C7EA0">
        <w:rPr>
          <w:rFonts w:ascii="Times New Roman" w:hAnsi="Times New Roman" w:cs="Times New Roman"/>
          <w:color w:val="000000" w:themeColor="text1"/>
          <w:sz w:val="28"/>
          <w:szCs w:val="28"/>
          <w:lang w:val="en-US"/>
        </w:rPr>
        <w:t>ESG</w:t>
      </w:r>
      <w:r w:rsidR="008975A4" w:rsidRPr="004C7EA0">
        <w:rPr>
          <w:rFonts w:ascii="Times New Roman" w:hAnsi="Times New Roman" w:cs="Times New Roman"/>
          <w:color w:val="000000" w:themeColor="text1"/>
          <w:sz w:val="28"/>
          <w:szCs w:val="28"/>
        </w:rPr>
        <w:t xml:space="preserve">-рейтингования, например, установив требования по обязательному раскрытию провайдерами </w:t>
      </w:r>
      <w:r w:rsidR="008975A4" w:rsidRPr="004C7EA0">
        <w:rPr>
          <w:rFonts w:ascii="Times New Roman" w:hAnsi="Times New Roman" w:cs="Times New Roman"/>
          <w:color w:val="000000" w:themeColor="text1"/>
          <w:sz w:val="28"/>
          <w:szCs w:val="28"/>
          <w:lang w:val="en-US"/>
        </w:rPr>
        <w:t>ESG</w:t>
      </w:r>
      <w:r w:rsidR="008975A4" w:rsidRPr="004C7EA0">
        <w:rPr>
          <w:rFonts w:ascii="Times New Roman" w:hAnsi="Times New Roman" w:cs="Times New Roman"/>
          <w:color w:val="000000" w:themeColor="text1"/>
          <w:sz w:val="28"/>
          <w:szCs w:val="28"/>
        </w:rPr>
        <w:t xml:space="preserve"> рейтингов используемой ими терминологии и методологии на своем веб-сайте</w:t>
      </w:r>
      <w:r w:rsidR="00834AB1">
        <w:rPr>
          <w:rFonts w:ascii="Times New Roman" w:hAnsi="Times New Roman" w:cs="Times New Roman"/>
          <w:color w:val="000000" w:themeColor="text1"/>
          <w:sz w:val="28"/>
          <w:szCs w:val="28"/>
        </w:rPr>
        <w:t>,</w:t>
      </w:r>
      <w:r w:rsidR="008975A4" w:rsidRPr="004C7EA0">
        <w:rPr>
          <w:rFonts w:ascii="Times New Roman" w:hAnsi="Times New Roman" w:cs="Times New Roman"/>
          <w:color w:val="000000" w:themeColor="text1"/>
          <w:sz w:val="28"/>
          <w:szCs w:val="28"/>
        </w:rPr>
        <w:t xml:space="preserve"> либо обратиться к разработке национального законодательства в области нефинансовой отчетности. При этом представляется, что для гармонизации подходов к унификации определений, методик и рейтинговых шкал </w:t>
      </w:r>
      <w:r w:rsidR="008975A4" w:rsidRPr="004C7EA0">
        <w:rPr>
          <w:rFonts w:ascii="Times New Roman" w:hAnsi="Times New Roman" w:cs="Times New Roman"/>
          <w:color w:val="000000" w:themeColor="text1"/>
          <w:sz w:val="28"/>
          <w:szCs w:val="28"/>
          <w:lang w:val="en-US"/>
        </w:rPr>
        <w:t>ESG</w:t>
      </w:r>
      <w:r w:rsidR="008975A4" w:rsidRPr="004C7EA0">
        <w:rPr>
          <w:rFonts w:ascii="Times New Roman" w:hAnsi="Times New Roman" w:cs="Times New Roman"/>
          <w:color w:val="000000" w:themeColor="text1"/>
          <w:sz w:val="28"/>
          <w:szCs w:val="28"/>
        </w:rPr>
        <w:t xml:space="preserve">-рейтингов в России, может быть организована дискуссионная площадка при участии Банка России. В рамках данного формата взаимодействия с участниками рынка и экспертным сообществом может происходить обмен информацией, оцениваться тенденции рынка, формироваться предложения по гармонизации отдельных вопросов и элементов. Наконец, стоит отдать предпочтение компонентным </w:t>
      </w:r>
      <w:r w:rsidR="008975A4" w:rsidRPr="004C7EA0">
        <w:rPr>
          <w:rFonts w:ascii="Times New Roman" w:hAnsi="Times New Roman" w:cs="Times New Roman"/>
          <w:color w:val="000000" w:themeColor="text1"/>
          <w:sz w:val="28"/>
          <w:szCs w:val="28"/>
          <w:lang w:val="en-US"/>
        </w:rPr>
        <w:t>ESG</w:t>
      </w:r>
      <w:r w:rsidR="008975A4" w:rsidRPr="004C7EA0">
        <w:rPr>
          <w:rFonts w:ascii="Times New Roman" w:hAnsi="Times New Roman" w:cs="Times New Roman"/>
          <w:color w:val="000000" w:themeColor="text1"/>
          <w:sz w:val="28"/>
          <w:szCs w:val="28"/>
        </w:rPr>
        <w:t>-рейтингам на российском рынке в связи с</w:t>
      </w:r>
      <w:r w:rsidR="00D11BFD" w:rsidRPr="004C7EA0">
        <w:rPr>
          <w:rFonts w:ascii="Times New Roman" w:hAnsi="Times New Roman" w:cs="Times New Roman"/>
          <w:color w:val="000000" w:themeColor="text1"/>
          <w:sz w:val="28"/>
          <w:szCs w:val="28"/>
        </w:rPr>
        <w:t xml:space="preserve"> тем, что такого рода рейтинги отличаются относительной надежностью и полнотой, в связи с чем могут служить лишь информационным продуктом, отражающим поверхностную оценку устойчивого развития.</w:t>
      </w:r>
    </w:p>
    <w:p w14:paraId="78CCB9F9" w14:textId="77777777" w:rsidR="008C2C46" w:rsidRPr="004C7EA0" w:rsidRDefault="008C2C46" w:rsidP="00F90684">
      <w:pPr>
        <w:spacing w:after="0" w:line="24" w:lineRule="atLeast"/>
        <w:ind w:firstLine="709"/>
        <w:contextualSpacing/>
        <w:jc w:val="both"/>
        <w:rPr>
          <w:rFonts w:ascii="Times New Roman" w:eastAsia="Times New Roman" w:hAnsi="Times New Roman" w:cs="Times New Roman"/>
          <w:color w:val="000000" w:themeColor="text1"/>
          <w:sz w:val="28"/>
          <w:szCs w:val="28"/>
          <w:lang w:eastAsia="ru-RU"/>
        </w:rPr>
      </w:pPr>
    </w:p>
    <w:p w14:paraId="6107782C" w14:textId="77777777" w:rsidR="00F90684" w:rsidRDefault="00F90684" w:rsidP="00F90684">
      <w:pPr>
        <w:tabs>
          <w:tab w:val="left" w:pos="4091"/>
        </w:tabs>
        <w:spacing w:after="0" w:line="24" w:lineRule="atLeast"/>
        <w:ind w:firstLine="709"/>
        <w:contextualSpacing/>
        <w:jc w:val="both"/>
        <w:rPr>
          <w:rFonts w:ascii="Times New Roman" w:eastAsia="Times New Roman" w:hAnsi="Times New Roman" w:cs="Times New Roman"/>
          <w:color w:val="000000" w:themeColor="text1"/>
          <w:sz w:val="28"/>
          <w:szCs w:val="28"/>
          <w:lang w:eastAsia="ru-RU"/>
        </w:rPr>
      </w:pPr>
    </w:p>
    <w:p w14:paraId="769A0D6B" w14:textId="77777777" w:rsidR="00F90684" w:rsidRDefault="00F90684" w:rsidP="00F90684">
      <w:pPr>
        <w:tabs>
          <w:tab w:val="left" w:pos="4091"/>
        </w:tabs>
        <w:spacing w:after="0" w:line="24" w:lineRule="atLeast"/>
        <w:ind w:firstLine="709"/>
        <w:contextualSpacing/>
        <w:jc w:val="both"/>
        <w:rPr>
          <w:rFonts w:ascii="Times New Roman" w:eastAsia="Times New Roman" w:hAnsi="Times New Roman" w:cs="Times New Roman"/>
          <w:color w:val="000000" w:themeColor="text1"/>
          <w:sz w:val="28"/>
          <w:szCs w:val="28"/>
          <w:lang w:eastAsia="ru-RU"/>
        </w:rPr>
      </w:pPr>
    </w:p>
    <w:p w14:paraId="0F01AF1F" w14:textId="77777777" w:rsidR="00F90684" w:rsidRDefault="00F90684" w:rsidP="00F90684">
      <w:pPr>
        <w:tabs>
          <w:tab w:val="left" w:pos="4091"/>
        </w:tabs>
        <w:spacing w:after="0" w:line="24" w:lineRule="atLeast"/>
        <w:ind w:firstLine="709"/>
        <w:contextualSpacing/>
        <w:jc w:val="both"/>
        <w:rPr>
          <w:rFonts w:ascii="Times New Roman" w:eastAsia="Times New Roman" w:hAnsi="Times New Roman" w:cs="Times New Roman"/>
          <w:color w:val="000000" w:themeColor="text1"/>
          <w:sz w:val="28"/>
          <w:szCs w:val="28"/>
          <w:lang w:eastAsia="ru-RU"/>
        </w:rPr>
      </w:pPr>
    </w:p>
    <w:p w14:paraId="4EA7E571" w14:textId="77777777" w:rsidR="00F90684" w:rsidRDefault="00F90684" w:rsidP="00F90684">
      <w:pPr>
        <w:tabs>
          <w:tab w:val="left" w:pos="4091"/>
        </w:tabs>
        <w:spacing w:after="0" w:line="24" w:lineRule="atLeast"/>
        <w:ind w:firstLine="709"/>
        <w:contextualSpacing/>
        <w:jc w:val="both"/>
        <w:rPr>
          <w:rFonts w:ascii="Times New Roman" w:eastAsia="Times New Roman" w:hAnsi="Times New Roman" w:cs="Times New Roman"/>
          <w:color w:val="000000" w:themeColor="text1"/>
          <w:sz w:val="28"/>
          <w:szCs w:val="28"/>
          <w:lang w:eastAsia="ru-RU"/>
        </w:rPr>
      </w:pPr>
    </w:p>
    <w:p w14:paraId="1A1A0E33" w14:textId="77777777" w:rsidR="00F90684" w:rsidRDefault="00F90684" w:rsidP="00F90684">
      <w:pPr>
        <w:tabs>
          <w:tab w:val="left" w:pos="4091"/>
        </w:tabs>
        <w:spacing w:after="0" w:line="24" w:lineRule="atLeast"/>
        <w:ind w:firstLine="709"/>
        <w:contextualSpacing/>
        <w:jc w:val="both"/>
        <w:rPr>
          <w:rFonts w:ascii="Times New Roman" w:eastAsia="Times New Roman" w:hAnsi="Times New Roman" w:cs="Times New Roman"/>
          <w:color w:val="000000" w:themeColor="text1"/>
          <w:sz w:val="28"/>
          <w:szCs w:val="28"/>
          <w:lang w:eastAsia="ru-RU"/>
        </w:rPr>
      </w:pPr>
    </w:p>
    <w:p w14:paraId="749F6E73" w14:textId="77777777" w:rsidR="00F90684" w:rsidRDefault="00F90684" w:rsidP="00F90684">
      <w:pPr>
        <w:tabs>
          <w:tab w:val="left" w:pos="4091"/>
        </w:tabs>
        <w:spacing w:after="0" w:line="24" w:lineRule="atLeast"/>
        <w:ind w:firstLine="709"/>
        <w:contextualSpacing/>
        <w:jc w:val="both"/>
        <w:rPr>
          <w:rFonts w:ascii="Times New Roman" w:eastAsia="Times New Roman" w:hAnsi="Times New Roman" w:cs="Times New Roman"/>
          <w:color w:val="000000" w:themeColor="text1"/>
          <w:sz w:val="28"/>
          <w:szCs w:val="28"/>
          <w:lang w:eastAsia="ru-RU"/>
        </w:rPr>
      </w:pPr>
    </w:p>
    <w:p w14:paraId="235D2D43" w14:textId="77777777" w:rsidR="00F90684" w:rsidRDefault="00F90684" w:rsidP="00F90684">
      <w:pPr>
        <w:tabs>
          <w:tab w:val="left" w:pos="4091"/>
        </w:tabs>
        <w:spacing w:after="0" w:line="24" w:lineRule="atLeast"/>
        <w:ind w:firstLine="709"/>
        <w:contextualSpacing/>
        <w:jc w:val="both"/>
        <w:rPr>
          <w:rFonts w:ascii="Times New Roman" w:eastAsia="Times New Roman" w:hAnsi="Times New Roman" w:cs="Times New Roman"/>
          <w:color w:val="000000" w:themeColor="text1"/>
          <w:sz w:val="28"/>
          <w:szCs w:val="28"/>
          <w:lang w:eastAsia="ru-RU"/>
        </w:rPr>
      </w:pPr>
    </w:p>
    <w:p w14:paraId="489E2401" w14:textId="77777777" w:rsidR="008C2C46" w:rsidRPr="004C7EA0" w:rsidRDefault="00D11BFD" w:rsidP="00F90684">
      <w:pPr>
        <w:tabs>
          <w:tab w:val="left" w:pos="4091"/>
        </w:tabs>
        <w:spacing w:after="0" w:line="24" w:lineRule="atLeast"/>
        <w:ind w:firstLine="709"/>
        <w:contextualSpacing/>
        <w:jc w:val="both"/>
        <w:rPr>
          <w:rFonts w:ascii="Times New Roman" w:eastAsia="Times New Roman" w:hAnsi="Times New Roman" w:cs="Times New Roman"/>
          <w:color w:val="000000" w:themeColor="text1"/>
          <w:sz w:val="28"/>
          <w:szCs w:val="28"/>
          <w:lang w:eastAsia="ru-RU"/>
        </w:rPr>
      </w:pPr>
      <w:r w:rsidRPr="004C7EA0">
        <w:rPr>
          <w:rFonts w:ascii="Times New Roman" w:eastAsia="Times New Roman" w:hAnsi="Times New Roman" w:cs="Times New Roman"/>
          <w:color w:val="000000" w:themeColor="text1"/>
          <w:sz w:val="28"/>
          <w:szCs w:val="28"/>
          <w:lang w:eastAsia="ru-RU"/>
        </w:rPr>
        <w:tab/>
      </w:r>
    </w:p>
    <w:p w14:paraId="75D80AD5" w14:textId="77777777" w:rsidR="008C2C46" w:rsidRPr="004C7EA0" w:rsidRDefault="008C2C46" w:rsidP="00F90684">
      <w:pPr>
        <w:spacing w:after="0" w:line="24" w:lineRule="atLeast"/>
        <w:ind w:firstLine="709"/>
        <w:contextualSpacing/>
        <w:jc w:val="both"/>
        <w:rPr>
          <w:rFonts w:ascii="Times New Roman" w:hAnsi="Times New Roman" w:cs="Times New Roman"/>
          <w:color w:val="000000" w:themeColor="text1"/>
          <w:sz w:val="28"/>
          <w:szCs w:val="28"/>
          <w:shd w:val="clear" w:color="auto" w:fill="FFFFFF"/>
        </w:rPr>
      </w:pPr>
    </w:p>
    <w:p w14:paraId="7C2490BA" w14:textId="77777777" w:rsidR="005A5221" w:rsidRPr="00834AB1" w:rsidRDefault="005A5221" w:rsidP="00F90684">
      <w:pPr>
        <w:pStyle w:val="FootnoteText"/>
        <w:numPr>
          <w:ilvl w:val="0"/>
          <w:numId w:val="3"/>
        </w:numPr>
        <w:spacing w:line="24" w:lineRule="atLeast"/>
        <w:ind w:left="0" w:firstLine="709"/>
        <w:contextualSpacing/>
        <w:jc w:val="both"/>
        <w:rPr>
          <w:rFonts w:ascii="Times New Roman" w:hAnsi="Times New Roman" w:cs="Times New Roman"/>
          <w:color w:val="000000" w:themeColor="text1"/>
          <w:sz w:val="28"/>
          <w:szCs w:val="28"/>
        </w:rPr>
      </w:pPr>
      <w:r w:rsidRPr="004C7EA0">
        <w:rPr>
          <w:rFonts w:ascii="Times New Roman" w:hAnsi="Times New Roman" w:cs="Times New Roman"/>
          <w:color w:val="000000" w:themeColor="text1"/>
          <w:sz w:val="28"/>
          <w:szCs w:val="28"/>
        </w:rPr>
        <w:t xml:space="preserve">Банк России. Модельная методология </w:t>
      </w:r>
      <w:r w:rsidRPr="004C7EA0">
        <w:rPr>
          <w:rFonts w:ascii="Times New Roman" w:hAnsi="Times New Roman" w:cs="Times New Roman"/>
          <w:color w:val="000000" w:themeColor="text1"/>
          <w:sz w:val="28"/>
          <w:szCs w:val="28"/>
          <w:lang w:val="en-US"/>
        </w:rPr>
        <w:t>ESG</w:t>
      </w:r>
      <w:r w:rsidRPr="004C7EA0">
        <w:rPr>
          <w:rFonts w:ascii="Times New Roman" w:hAnsi="Times New Roman" w:cs="Times New Roman"/>
          <w:color w:val="000000" w:themeColor="text1"/>
          <w:sz w:val="28"/>
          <w:szCs w:val="28"/>
        </w:rPr>
        <w:t xml:space="preserve">-рейтингов: Доклад для общественных консультаций // Банк России. 2023. </w:t>
      </w:r>
      <w:r w:rsidRPr="004C7EA0">
        <w:rPr>
          <w:rFonts w:ascii="Times New Roman" w:hAnsi="Times New Roman" w:cs="Times New Roman"/>
          <w:color w:val="000000" w:themeColor="text1"/>
          <w:sz w:val="28"/>
          <w:szCs w:val="28"/>
          <w:lang w:val="en-US"/>
        </w:rPr>
        <w:t>URL</w:t>
      </w:r>
      <w:r w:rsidRPr="004C7EA0">
        <w:rPr>
          <w:rFonts w:ascii="Times New Roman" w:hAnsi="Times New Roman" w:cs="Times New Roman"/>
          <w:color w:val="000000" w:themeColor="text1"/>
          <w:sz w:val="28"/>
          <w:szCs w:val="28"/>
        </w:rPr>
        <w:t xml:space="preserve">: </w:t>
      </w:r>
      <w:hyperlink r:id="rId8" w:history="1">
        <w:r w:rsidRPr="004C7EA0">
          <w:rPr>
            <w:rStyle w:val="Hyperlink"/>
            <w:rFonts w:ascii="Times New Roman" w:hAnsi="Times New Roman" w:cs="Times New Roman"/>
            <w:color w:val="000000" w:themeColor="text1"/>
            <w:sz w:val="28"/>
            <w:szCs w:val="28"/>
            <w:lang w:val="en-US"/>
          </w:rPr>
          <w:t>https</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www</w:t>
        </w:r>
        <w:r w:rsidRPr="004C7EA0">
          <w:rPr>
            <w:rStyle w:val="Hyperlink"/>
            <w:rFonts w:ascii="Times New Roman" w:hAnsi="Times New Roman" w:cs="Times New Roman"/>
            <w:color w:val="000000" w:themeColor="text1"/>
            <w:sz w:val="28"/>
            <w:szCs w:val="28"/>
          </w:rPr>
          <w:t>.</w:t>
        </w:r>
        <w:proofErr w:type="spellStart"/>
        <w:r w:rsidRPr="004C7EA0">
          <w:rPr>
            <w:rStyle w:val="Hyperlink"/>
            <w:rFonts w:ascii="Times New Roman" w:hAnsi="Times New Roman" w:cs="Times New Roman"/>
            <w:color w:val="000000" w:themeColor="text1"/>
            <w:sz w:val="28"/>
            <w:szCs w:val="28"/>
            <w:lang w:val="en-US"/>
          </w:rPr>
          <w:t>cbr</w:t>
        </w:r>
        <w:proofErr w:type="spellEnd"/>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ru</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Content</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Document</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File</w:t>
        </w:r>
        <w:r w:rsidRPr="004C7EA0">
          <w:rPr>
            <w:rStyle w:val="Hyperlink"/>
            <w:rFonts w:ascii="Times New Roman" w:hAnsi="Times New Roman" w:cs="Times New Roman"/>
            <w:color w:val="000000" w:themeColor="text1"/>
            <w:sz w:val="28"/>
            <w:szCs w:val="28"/>
          </w:rPr>
          <w:t>/144085/</w:t>
        </w:r>
        <w:r w:rsidRPr="004C7EA0">
          <w:rPr>
            <w:rStyle w:val="Hyperlink"/>
            <w:rFonts w:ascii="Times New Roman" w:hAnsi="Times New Roman" w:cs="Times New Roman"/>
            <w:color w:val="000000" w:themeColor="text1"/>
            <w:sz w:val="28"/>
            <w:szCs w:val="28"/>
            <w:lang w:val="en-US"/>
          </w:rPr>
          <w:t>Consultation</w:t>
        </w:r>
        <w:r w:rsidRPr="004C7EA0">
          <w:rPr>
            <w:rStyle w:val="Hyperlink"/>
            <w:rFonts w:ascii="Times New Roman" w:hAnsi="Times New Roman" w:cs="Times New Roman"/>
            <w:color w:val="000000" w:themeColor="text1"/>
            <w:sz w:val="28"/>
            <w:szCs w:val="28"/>
          </w:rPr>
          <w:t>_</w:t>
        </w:r>
        <w:r w:rsidRPr="004C7EA0">
          <w:rPr>
            <w:rStyle w:val="Hyperlink"/>
            <w:rFonts w:ascii="Times New Roman" w:hAnsi="Times New Roman" w:cs="Times New Roman"/>
            <w:color w:val="000000" w:themeColor="text1"/>
            <w:sz w:val="28"/>
            <w:szCs w:val="28"/>
            <w:lang w:val="en-US"/>
          </w:rPr>
          <w:t>Paper</w:t>
        </w:r>
        <w:r w:rsidRPr="004C7EA0">
          <w:rPr>
            <w:rStyle w:val="Hyperlink"/>
            <w:rFonts w:ascii="Times New Roman" w:hAnsi="Times New Roman" w:cs="Times New Roman"/>
            <w:color w:val="000000" w:themeColor="text1"/>
            <w:sz w:val="28"/>
            <w:szCs w:val="28"/>
          </w:rPr>
          <w:t>_17012023.</w:t>
        </w:r>
        <w:r w:rsidRPr="004C7EA0">
          <w:rPr>
            <w:rStyle w:val="Hyperlink"/>
            <w:rFonts w:ascii="Times New Roman" w:hAnsi="Times New Roman" w:cs="Times New Roman"/>
            <w:color w:val="000000" w:themeColor="text1"/>
            <w:sz w:val="28"/>
            <w:szCs w:val="28"/>
            <w:lang w:val="en-US"/>
          </w:rPr>
          <w:t>pdf</w:t>
        </w:r>
      </w:hyperlink>
      <w:r w:rsidRPr="004C7EA0">
        <w:rPr>
          <w:rFonts w:ascii="Times New Roman" w:hAnsi="Times New Roman" w:cs="Times New Roman"/>
          <w:color w:val="000000" w:themeColor="text1"/>
          <w:sz w:val="28"/>
          <w:szCs w:val="28"/>
        </w:rPr>
        <w:t xml:space="preserve"> (дата обращения: 4.</w:t>
      </w:r>
      <w:r w:rsidRPr="004C7EA0">
        <w:rPr>
          <w:rFonts w:ascii="Times New Roman" w:hAnsi="Times New Roman" w:cs="Times New Roman"/>
          <w:color w:val="000000" w:themeColor="text1"/>
          <w:sz w:val="28"/>
          <w:szCs w:val="28"/>
          <w:lang w:val="en-US"/>
        </w:rPr>
        <w:t>March</w:t>
      </w:r>
      <w:r w:rsidRPr="004C7EA0">
        <w:rPr>
          <w:rFonts w:ascii="Times New Roman" w:hAnsi="Times New Roman" w:cs="Times New Roman"/>
          <w:color w:val="000000" w:themeColor="text1"/>
          <w:sz w:val="28"/>
          <w:szCs w:val="28"/>
        </w:rPr>
        <w:t>.2023).</w:t>
      </w:r>
    </w:p>
    <w:p w14:paraId="21D11972" w14:textId="77777777" w:rsidR="004C7EA0" w:rsidRPr="004C7EA0" w:rsidRDefault="00834AB1" w:rsidP="00F90684">
      <w:pPr>
        <w:pStyle w:val="FootnoteText"/>
        <w:numPr>
          <w:ilvl w:val="0"/>
          <w:numId w:val="3"/>
        </w:numPr>
        <w:spacing w:line="24" w:lineRule="atLeast"/>
        <w:ind w:left="0" w:firstLine="709"/>
        <w:contextualSpacing/>
        <w:jc w:val="both"/>
        <w:rPr>
          <w:rFonts w:ascii="Times New Roman" w:hAnsi="Times New Roman" w:cs="Times New Roman"/>
          <w:color w:val="000000" w:themeColor="text1"/>
          <w:sz w:val="28"/>
          <w:szCs w:val="28"/>
          <w:lang w:val="en-US"/>
        </w:rPr>
      </w:pPr>
      <w:proofErr w:type="spellStart"/>
      <w:r w:rsidRPr="004C7EA0">
        <w:rPr>
          <w:rFonts w:ascii="Times New Roman" w:hAnsi="Times New Roman" w:cs="Times New Roman"/>
          <w:color w:val="000000" w:themeColor="text1"/>
          <w:sz w:val="28"/>
          <w:szCs w:val="28"/>
          <w:shd w:val="clear" w:color="auto" w:fill="FFFFFF"/>
          <w:lang w:val="en-US"/>
        </w:rPr>
        <w:t>Amel</w:t>
      </w:r>
      <w:proofErr w:type="spellEnd"/>
      <w:r w:rsidRPr="004C7EA0">
        <w:rPr>
          <w:rFonts w:ascii="Times New Roman" w:hAnsi="Times New Roman" w:cs="Times New Roman"/>
          <w:color w:val="000000" w:themeColor="text1"/>
          <w:sz w:val="28"/>
          <w:szCs w:val="28"/>
          <w:shd w:val="clear" w:color="auto" w:fill="FFFFFF"/>
          <w:lang w:val="en-US"/>
        </w:rPr>
        <w:t xml:space="preserve">-Zadeh, Amir and </w:t>
      </w:r>
      <w:proofErr w:type="spellStart"/>
      <w:r w:rsidRPr="004C7EA0">
        <w:rPr>
          <w:rFonts w:ascii="Times New Roman" w:hAnsi="Times New Roman" w:cs="Times New Roman"/>
          <w:color w:val="000000" w:themeColor="text1"/>
          <w:sz w:val="28"/>
          <w:szCs w:val="28"/>
          <w:shd w:val="clear" w:color="auto" w:fill="FFFFFF"/>
          <w:lang w:val="en-US"/>
        </w:rPr>
        <w:t>Serafeim</w:t>
      </w:r>
      <w:proofErr w:type="spellEnd"/>
      <w:r w:rsidRPr="004C7EA0">
        <w:rPr>
          <w:rFonts w:ascii="Times New Roman" w:hAnsi="Times New Roman" w:cs="Times New Roman"/>
          <w:color w:val="000000" w:themeColor="text1"/>
          <w:sz w:val="28"/>
          <w:szCs w:val="28"/>
          <w:shd w:val="clear" w:color="auto" w:fill="FFFFFF"/>
          <w:lang w:val="en-US"/>
        </w:rPr>
        <w:t>, George, Why and How Investors Use ESG Information: Evidence from a Global Survey (July 1, 2017). Financial Analysts Journal, 2018, Volume 74 Issue 3, pp. 87-103.</w:t>
      </w:r>
      <w:r w:rsidRPr="004C7EA0">
        <w:rPr>
          <w:rFonts w:ascii="Times New Roman" w:hAnsi="Times New Roman" w:cs="Times New Roman"/>
          <w:color w:val="000000" w:themeColor="text1"/>
          <w:sz w:val="28"/>
          <w:szCs w:val="28"/>
          <w:lang w:val="en-US"/>
        </w:rPr>
        <w:t xml:space="preserve"> </w:t>
      </w:r>
      <w:r w:rsidRPr="004C7EA0">
        <w:rPr>
          <w:rFonts w:ascii="Times New Roman" w:hAnsi="Times New Roman" w:cs="Times New Roman"/>
          <w:color w:val="000000" w:themeColor="text1"/>
          <w:sz w:val="28"/>
          <w:szCs w:val="28"/>
        </w:rPr>
        <w:t xml:space="preserve">(дата обращения: </w:t>
      </w:r>
      <w:proofErr w:type="gramStart"/>
      <w:r w:rsidRPr="004C7EA0">
        <w:rPr>
          <w:rFonts w:ascii="Times New Roman" w:hAnsi="Times New Roman" w:cs="Times New Roman"/>
          <w:color w:val="000000" w:themeColor="text1"/>
          <w:sz w:val="28"/>
          <w:szCs w:val="28"/>
        </w:rPr>
        <w:t>4.</w:t>
      </w:r>
      <w:r w:rsidRPr="004C7EA0">
        <w:rPr>
          <w:rFonts w:ascii="Times New Roman" w:hAnsi="Times New Roman" w:cs="Times New Roman"/>
          <w:color w:val="000000" w:themeColor="text1"/>
          <w:sz w:val="28"/>
          <w:szCs w:val="28"/>
          <w:lang w:val="en-US"/>
        </w:rPr>
        <w:t>March</w:t>
      </w:r>
      <w:proofErr w:type="gramEnd"/>
      <w:r w:rsidRPr="004C7EA0">
        <w:rPr>
          <w:rFonts w:ascii="Times New Roman" w:hAnsi="Times New Roman" w:cs="Times New Roman"/>
          <w:color w:val="000000" w:themeColor="text1"/>
          <w:sz w:val="28"/>
          <w:szCs w:val="28"/>
        </w:rPr>
        <w:t>.2023).</w:t>
      </w:r>
    </w:p>
    <w:p w14:paraId="6DC9F737" w14:textId="77777777" w:rsidR="005A5221" w:rsidRPr="005A5221" w:rsidRDefault="005A5221" w:rsidP="00F90684">
      <w:pPr>
        <w:pStyle w:val="FootnoteText"/>
        <w:numPr>
          <w:ilvl w:val="0"/>
          <w:numId w:val="3"/>
        </w:numPr>
        <w:spacing w:line="24" w:lineRule="atLeast"/>
        <w:ind w:left="0" w:firstLine="709"/>
        <w:contextualSpacing/>
        <w:jc w:val="both"/>
        <w:rPr>
          <w:rFonts w:ascii="Times New Roman" w:hAnsi="Times New Roman" w:cs="Times New Roman"/>
          <w:color w:val="000000" w:themeColor="text1"/>
          <w:sz w:val="28"/>
          <w:szCs w:val="28"/>
          <w:lang w:val="en-US"/>
        </w:rPr>
      </w:pPr>
      <w:r w:rsidRPr="004C7EA0">
        <w:rPr>
          <w:rFonts w:ascii="Times New Roman" w:hAnsi="Times New Roman" w:cs="Times New Roman"/>
          <w:color w:val="000000" w:themeColor="text1"/>
          <w:sz w:val="28"/>
          <w:szCs w:val="28"/>
          <w:lang w:val="en-US"/>
        </w:rPr>
        <w:t xml:space="preserve">EFAMA. IOSCO´s consultation on ESG ratings and data products providers // EFAMA. 2021. URL: </w:t>
      </w:r>
      <w:hyperlink r:id="rId9" w:history="1">
        <w:r w:rsidRPr="004C7EA0">
          <w:rPr>
            <w:rStyle w:val="Hyperlink"/>
            <w:rFonts w:ascii="Times New Roman" w:hAnsi="Times New Roman" w:cs="Times New Roman"/>
            <w:color w:val="000000" w:themeColor="text1"/>
            <w:sz w:val="28"/>
            <w:szCs w:val="28"/>
            <w:lang w:val="en-US"/>
          </w:rPr>
          <w:t>IOSCO´s consultation on ESG ratings and data products providers | EFAMA</w:t>
        </w:r>
      </w:hyperlink>
      <w:r w:rsidRPr="004C7EA0">
        <w:rPr>
          <w:rFonts w:ascii="Times New Roman" w:hAnsi="Times New Roman" w:cs="Times New Roman"/>
          <w:color w:val="000000" w:themeColor="text1"/>
          <w:sz w:val="28"/>
          <w:szCs w:val="28"/>
          <w:lang w:val="en-US"/>
        </w:rPr>
        <w:t xml:space="preserve"> (</w:t>
      </w:r>
      <w:r w:rsidRPr="004C7EA0">
        <w:rPr>
          <w:rFonts w:ascii="Times New Roman" w:hAnsi="Times New Roman" w:cs="Times New Roman"/>
          <w:color w:val="000000" w:themeColor="text1"/>
          <w:sz w:val="28"/>
          <w:szCs w:val="28"/>
        </w:rPr>
        <w:t>дата</w:t>
      </w:r>
      <w:r w:rsidRPr="004C7EA0">
        <w:rPr>
          <w:rFonts w:ascii="Times New Roman" w:hAnsi="Times New Roman" w:cs="Times New Roman"/>
          <w:color w:val="000000" w:themeColor="text1"/>
          <w:sz w:val="28"/>
          <w:szCs w:val="28"/>
          <w:lang w:val="en-US"/>
        </w:rPr>
        <w:t xml:space="preserve"> </w:t>
      </w:r>
      <w:r w:rsidRPr="004C7EA0">
        <w:rPr>
          <w:rFonts w:ascii="Times New Roman" w:hAnsi="Times New Roman" w:cs="Times New Roman"/>
          <w:color w:val="000000" w:themeColor="text1"/>
          <w:sz w:val="28"/>
          <w:szCs w:val="28"/>
        </w:rPr>
        <w:t>обращения</w:t>
      </w:r>
      <w:r w:rsidRPr="004C7EA0">
        <w:rPr>
          <w:rFonts w:ascii="Times New Roman" w:hAnsi="Times New Roman" w:cs="Times New Roman"/>
          <w:color w:val="000000" w:themeColor="text1"/>
          <w:sz w:val="28"/>
          <w:szCs w:val="28"/>
          <w:lang w:val="en-US"/>
        </w:rPr>
        <w:t xml:space="preserve">: 4.March.2023). </w:t>
      </w:r>
    </w:p>
    <w:p w14:paraId="781DD9C9" w14:textId="77777777" w:rsidR="005A5221" w:rsidRPr="00834AB1" w:rsidRDefault="005A5221" w:rsidP="00F90684">
      <w:pPr>
        <w:pStyle w:val="FootnoteText"/>
        <w:numPr>
          <w:ilvl w:val="0"/>
          <w:numId w:val="3"/>
        </w:numPr>
        <w:spacing w:line="24" w:lineRule="atLeast"/>
        <w:ind w:left="0" w:firstLine="709"/>
        <w:contextualSpacing/>
        <w:jc w:val="both"/>
        <w:rPr>
          <w:rFonts w:ascii="Times New Roman" w:hAnsi="Times New Roman" w:cs="Times New Roman"/>
          <w:color w:val="000000" w:themeColor="text1"/>
          <w:sz w:val="28"/>
          <w:szCs w:val="28"/>
          <w:lang w:val="en-US"/>
        </w:rPr>
      </w:pPr>
      <w:r w:rsidRPr="004C7EA0">
        <w:rPr>
          <w:rFonts w:ascii="Times New Roman" w:hAnsi="Times New Roman" w:cs="Times New Roman"/>
          <w:color w:val="000000" w:themeColor="text1"/>
          <w:sz w:val="28"/>
          <w:szCs w:val="28"/>
          <w:shd w:val="clear" w:color="auto" w:fill="FFFFFF"/>
          <w:lang w:val="en-US"/>
        </w:rPr>
        <w:t xml:space="preserve">Florian Berg, Julian F </w:t>
      </w:r>
      <w:proofErr w:type="spellStart"/>
      <w:r w:rsidRPr="004C7EA0">
        <w:rPr>
          <w:rFonts w:ascii="Times New Roman" w:hAnsi="Times New Roman" w:cs="Times New Roman"/>
          <w:color w:val="000000" w:themeColor="text1"/>
          <w:sz w:val="28"/>
          <w:szCs w:val="28"/>
          <w:shd w:val="clear" w:color="auto" w:fill="FFFFFF"/>
          <w:lang w:val="en-US"/>
        </w:rPr>
        <w:t>Kölbel</w:t>
      </w:r>
      <w:proofErr w:type="spellEnd"/>
      <w:r w:rsidRPr="004C7EA0">
        <w:rPr>
          <w:rFonts w:ascii="Times New Roman" w:hAnsi="Times New Roman" w:cs="Times New Roman"/>
          <w:color w:val="000000" w:themeColor="text1"/>
          <w:sz w:val="28"/>
          <w:szCs w:val="28"/>
          <w:shd w:val="clear" w:color="auto" w:fill="FFFFFF"/>
          <w:lang w:val="en-US"/>
        </w:rPr>
        <w:t xml:space="preserve">, Roberto </w:t>
      </w:r>
      <w:proofErr w:type="spellStart"/>
      <w:r w:rsidRPr="004C7EA0">
        <w:rPr>
          <w:rFonts w:ascii="Times New Roman" w:hAnsi="Times New Roman" w:cs="Times New Roman"/>
          <w:color w:val="000000" w:themeColor="text1"/>
          <w:sz w:val="28"/>
          <w:szCs w:val="28"/>
          <w:shd w:val="clear" w:color="auto" w:fill="FFFFFF"/>
          <w:lang w:val="en-US"/>
        </w:rPr>
        <w:t>Rigobon</w:t>
      </w:r>
      <w:proofErr w:type="spellEnd"/>
      <w:r w:rsidRPr="004C7EA0">
        <w:rPr>
          <w:rFonts w:ascii="Times New Roman" w:hAnsi="Times New Roman" w:cs="Times New Roman"/>
          <w:color w:val="000000" w:themeColor="text1"/>
          <w:sz w:val="28"/>
          <w:szCs w:val="28"/>
          <w:shd w:val="clear" w:color="auto" w:fill="FFFFFF"/>
          <w:lang w:val="en-US"/>
        </w:rPr>
        <w:t>, Aggregate Confusion: The Divergence of ESG Ratings. </w:t>
      </w:r>
      <w:r w:rsidRPr="004C7EA0">
        <w:rPr>
          <w:rStyle w:val="Emphasis"/>
          <w:rFonts w:ascii="Times New Roman" w:hAnsi="Times New Roman" w:cs="Times New Roman"/>
          <w:color w:val="000000" w:themeColor="text1"/>
          <w:sz w:val="28"/>
          <w:szCs w:val="28"/>
          <w:bdr w:val="none" w:sz="0" w:space="0" w:color="auto" w:frame="1"/>
          <w:shd w:val="clear" w:color="auto" w:fill="FFFFFF"/>
          <w:lang w:val="en-US"/>
        </w:rPr>
        <w:t>Review of Finance</w:t>
      </w:r>
      <w:r w:rsidRPr="004C7EA0">
        <w:rPr>
          <w:rFonts w:ascii="Times New Roman" w:hAnsi="Times New Roman" w:cs="Times New Roman"/>
          <w:color w:val="000000" w:themeColor="text1"/>
          <w:sz w:val="28"/>
          <w:szCs w:val="28"/>
          <w:shd w:val="clear" w:color="auto" w:fill="FFFFFF"/>
          <w:lang w:val="en-US"/>
        </w:rPr>
        <w:t xml:space="preserve">, 2022, Volume 26, Issue 6, pp. 1315–1344. </w:t>
      </w:r>
      <w:r w:rsidRPr="00834AB1">
        <w:rPr>
          <w:rFonts w:ascii="Times New Roman" w:hAnsi="Times New Roman" w:cs="Times New Roman"/>
          <w:color w:val="000000" w:themeColor="text1"/>
          <w:sz w:val="28"/>
          <w:szCs w:val="28"/>
          <w:lang w:val="en-US"/>
        </w:rPr>
        <w:t>(</w:t>
      </w:r>
      <w:r w:rsidRPr="004C7EA0">
        <w:rPr>
          <w:rFonts w:ascii="Times New Roman" w:hAnsi="Times New Roman" w:cs="Times New Roman"/>
          <w:color w:val="000000" w:themeColor="text1"/>
          <w:sz w:val="28"/>
          <w:szCs w:val="28"/>
        </w:rPr>
        <w:t>дата</w:t>
      </w:r>
      <w:r w:rsidRPr="00834AB1">
        <w:rPr>
          <w:rFonts w:ascii="Times New Roman" w:hAnsi="Times New Roman" w:cs="Times New Roman"/>
          <w:color w:val="000000" w:themeColor="text1"/>
          <w:sz w:val="28"/>
          <w:szCs w:val="28"/>
          <w:lang w:val="en-US"/>
        </w:rPr>
        <w:t xml:space="preserve"> </w:t>
      </w:r>
      <w:r w:rsidRPr="004C7EA0">
        <w:rPr>
          <w:rFonts w:ascii="Times New Roman" w:hAnsi="Times New Roman" w:cs="Times New Roman"/>
          <w:color w:val="000000" w:themeColor="text1"/>
          <w:sz w:val="28"/>
          <w:szCs w:val="28"/>
        </w:rPr>
        <w:t>обращения</w:t>
      </w:r>
      <w:r w:rsidRPr="00834AB1">
        <w:rPr>
          <w:rFonts w:ascii="Times New Roman" w:hAnsi="Times New Roman" w:cs="Times New Roman"/>
          <w:color w:val="000000" w:themeColor="text1"/>
          <w:sz w:val="28"/>
          <w:szCs w:val="28"/>
          <w:lang w:val="en-US"/>
        </w:rPr>
        <w:t xml:space="preserve">: </w:t>
      </w:r>
      <w:proofErr w:type="gramStart"/>
      <w:r w:rsidRPr="00834AB1">
        <w:rPr>
          <w:rFonts w:ascii="Times New Roman" w:hAnsi="Times New Roman" w:cs="Times New Roman"/>
          <w:color w:val="000000" w:themeColor="text1"/>
          <w:sz w:val="28"/>
          <w:szCs w:val="28"/>
          <w:lang w:val="en-US"/>
        </w:rPr>
        <w:t>4.</w:t>
      </w:r>
      <w:r w:rsidRPr="004C7EA0">
        <w:rPr>
          <w:rFonts w:ascii="Times New Roman" w:hAnsi="Times New Roman" w:cs="Times New Roman"/>
          <w:color w:val="000000" w:themeColor="text1"/>
          <w:sz w:val="28"/>
          <w:szCs w:val="28"/>
          <w:lang w:val="en-US"/>
        </w:rPr>
        <w:t>March</w:t>
      </w:r>
      <w:proofErr w:type="gramEnd"/>
      <w:r w:rsidRPr="00834AB1">
        <w:rPr>
          <w:rFonts w:ascii="Times New Roman" w:hAnsi="Times New Roman" w:cs="Times New Roman"/>
          <w:color w:val="000000" w:themeColor="text1"/>
          <w:sz w:val="28"/>
          <w:szCs w:val="28"/>
          <w:lang w:val="en-US"/>
        </w:rPr>
        <w:t>.2023).</w:t>
      </w:r>
    </w:p>
    <w:p w14:paraId="2C38E7EF" w14:textId="77777777" w:rsidR="005A5221" w:rsidRPr="004C7EA0" w:rsidRDefault="005A5221" w:rsidP="00F90684">
      <w:pPr>
        <w:pStyle w:val="FootnoteText"/>
        <w:numPr>
          <w:ilvl w:val="0"/>
          <w:numId w:val="3"/>
        </w:numPr>
        <w:spacing w:line="24" w:lineRule="atLeast"/>
        <w:ind w:left="0" w:firstLine="709"/>
        <w:contextualSpacing/>
        <w:jc w:val="both"/>
        <w:rPr>
          <w:rFonts w:ascii="Times New Roman" w:hAnsi="Times New Roman" w:cs="Times New Roman"/>
          <w:color w:val="000000" w:themeColor="text1"/>
          <w:sz w:val="28"/>
          <w:szCs w:val="28"/>
        </w:rPr>
      </w:pPr>
      <w:r w:rsidRPr="004C7EA0">
        <w:rPr>
          <w:rFonts w:ascii="Times New Roman" w:hAnsi="Times New Roman" w:cs="Times New Roman"/>
          <w:color w:val="000000" w:themeColor="text1"/>
          <w:sz w:val="28"/>
          <w:szCs w:val="28"/>
          <w:lang w:val="en-US"/>
        </w:rPr>
        <w:t xml:space="preserve">IOSCO. Environmental, Social and Governance (ESG) Ratings and Data Products Providers // IOSCO. </w:t>
      </w:r>
      <w:r w:rsidRPr="00993AA3">
        <w:rPr>
          <w:rFonts w:ascii="Times New Roman" w:hAnsi="Times New Roman" w:cs="Times New Roman"/>
          <w:color w:val="000000" w:themeColor="text1"/>
          <w:sz w:val="28"/>
          <w:szCs w:val="28"/>
        </w:rPr>
        <w:t xml:space="preserve">2021. </w:t>
      </w:r>
      <w:r w:rsidRPr="004C7EA0">
        <w:rPr>
          <w:rFonts w:ascii="Times New Roman" w:hAnsi="Times New Roman" w:cs="Times New Roman"/>
          <w:color w:val="000000" w:themeColor="text1"/>
          <w:sz w:val="28"/>
          <w:szCs w:val="28"/>
          <w:lang w:val="en-US"/>
        </w:rPr>
        <w:t>URL</w:t>
      </w:r>
      <w:r w:rsidRPr="004C7EA0">
        <w:rPr>
          <w:rFonts w:ascii="Times New Roman" w:hAnsi="Times New Roman" w:cs="Times New Roman"/>
          <w:color w:val="000000" w:themeColor="text1"/>
          <w:sz w:val="28"/>
          <w:szCs w:val="28"/>
        </w:rPr>
        <w:t xml:space="preserve">: </w:t>
      </w:r>
      <w:hyperlink r:id="rId10" w:history="1">
        <w:r w:rsidRPr="004C7EA0">
          <w:rPr>
            <w:rStyle w:val="Hyperlink"/>
            <w:rFonts w:ascii="Times New Roman" w:hAnsi="Times New Roman" w:cs="Times New Roman"/>
            <w:color w:val="000000" w:themeColor="text1"/>
            <w:sz w:val="28"/>
            <w:szCs w:val="28"/>
            <w:lang w:val="en-US"/>
          </w:rPr>
          <w:t>https</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www</w:t>
        </w:r>
        <w:r w:rsidRPr="004C7EA0">
          <w:rPr>
            <w:rStyle w:val="Hyperlink"/>
            <w:rFonts w:ascii="Times New Roman" w:hAnsi="Times New Roman" w:cs="Times New Roman"/>
            <w:color w:val="000000" w:themeColor="text1"/>
            <w:sz w:val="28"/>
            <w:szCs w:val="28"/>
          </w:rPr>
          <w:t>.</w:t>
        </w:r>
        <w:proofErr w:type="spellStart"/>
        <w:r w:rsidRPr="004C7EA0">
          <w:rPr>
            <w:rStyle w:val="Hyperlink"/>
            <w:rFonts w:ascii="Times New Roman" w:hAnsi="Times New Roman" w:cs="Times New Roman"/>
            <w:color w:val="000000" w:themeColor="text1"/>
            <w:sz w:val="28"/>
            <w:szCs w:val="28"/>
            <w:lang w:val="en-US"/>
          </w:rPr>
          <w:t>iosco</w:t>
        </w:r>
        <w:proofErr w:type="spellEnd"/>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org</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library</w:t>
        </w:r>
        <w:r w:rsidRPr="004C7EA0">
          <w:rPr>
            <w:rStyle w:val="Hyperlink"/>
            <w:rFonts w:ascii="Times New Roman" w:hAnsi="Times New Roman" w:cs="Times New Roman"/>
            <w:color w:val="000000" w:themeColor="text1"/>
            <w:sz w:val="28"/>
            <w:szCs w:val="28"/>
          </w:rPr>
          <w:t>/</w:t>
        </w:r>
        <w:proofErr w:type="spellStart"/>
        <w:r w:rsidRPr="004C7EA0">
          <w:rPr>
            <w:rStyle w:val="Hyperlink"/>
            <w:rFonts w:ascii="Times New Roman" w:hAnsi="Times New Roman" w:cs="Times New Roman"/>
            <w:color w:val="000000" w:themeColor="text1"/>
            <w:sz w:val="28"/>
            <w:szCs w:val="28"/>
            <w:lang w:val="en-US"/>
          </w:rPr>
          <w:t>pubdocs</w:t>
        </w:r>
        <w:proofErr w:type="spellEnd"/>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pdf</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IOSCOPD</w:t>
        </w:r>
        <w:r w:rsidRPr="004C7EA0">
          <w:rPr>
            <w:rStyle w:val="Hyperlink"/>
            <w:rFonts w:ascii="Times New Roman" w:hAnsi="Times New Roman" w:cs="Times New Roman"/>
            <w:color w:val="000000" w:themeColor="text1"/>
            <w:sz w:val="28"/>
            <w:szCs w:val="28"/>
          </w:rPr>
          <w:t>690.</w:t>
        </w:r>
        <w:r w:rsidRPr="004C7EA0">
          <w:rPr>
            <w:rStyle w:val="Hyperlink"/>
            <w:rFonts w:ascii="Times New Roman" w:hAnsi="Times New Roman" w:cs="Times New Roman"/>
            <w:color w:val="000000" w:themeColor="text1"/>
            <w:sz w:val="28"/>
            <w:szCs w:val="28"/>
            <w:lang w:val="en-US"/>
          </w:rPr>
          <w:t>pdf</w:t>
        </w:r>
      </w:hyperlink>
      <w:r w:rsidRPr="004C7EA0">
        <w:rPr>
          <w:rFonts w:ascii="Times New Roman" w:hAnsi="Times New Roman" w:cs="Times New Roman"/>
          <w:color w:val="000000" w:themeColor="text1"/>
          <w:sz w:val="28"/>
          <w:szCs w:val="28"/>
        </w:rPr>
        <w:t xml:space="preserve"> (дата обращения: </w:t>
      </w:r>
      <w:proofErr w:type="gramStart"/>
      <w:r w:rsidRPr="004C7EA0">
        <w:rPr>
          <w:rFonts w:ascii="Times New Roman" w:hAnsi="Times New Roman" w:cs="Times New Roman"/>
          <w:color w:val="000000" w:themeColor="text1"/>
          <w:sz w:val="28"/>
          <w:szCs w:val="28"/>
        </w:rPr>
        <w:t>4.</w:t>
      </w:r>
      <w:r w:rsidRPr="004C7EA0">
        <w:rPr>
          <w:rFonts w:ascii="Times New Roman" w:hAnsi="Times New Roman" w:cs="Times New Roman"/>
          <w:color w:val="000000" w:themeColor="text1"/>
          <w:sz w:val="28"/>
          <w:szCs w:val="28"/>
          <w:lang w:val="en-US"/>
        </w:rPr>
        <w:t>March</w:t>
      </w:r>
      <w:proofErr w:type="gramEnd"/>
      <w:r w:rsidRPr="004C7EA0">
        <w:rPr>
          <w:rFonts w:ascii="Times New Roman" w:hAnsi="Times New Roman" w:cs="Times New Roman"/>
          <w:color w:val="000000" w:themeColor="text1"/>
          <w:sz w:val="28"/>
          <w:szCs w:val="28"/>
        </w:rPr>
        <w:t xml:space="preserve">.2023). </w:t>
      </w:r>
    </w:p>
    <w:p w14:paraId="1E2695AA" w14:textId="77777777" w:rsidR="005A5221" w:rsidRPr="004C7EA0" w:rsidRDefault="005A5221" w:rsidP="00F90684">
      <w:pPr>
        <w:pStyle w:val="FootnoteText"/>
        <w:numPr>
          <w:ilvl w:val="0"/>
          <w:numId w:val="3"/>
        </w:numPr>
        <w:spacing w:line="24" w:lineRule="atLeast"/>
        <w:ind w:left="0" w:firstLine="709"/>
        <w:contextualSpacing/>
        <w:jc w:val="both"/>
        <w:rPr>
          <w:rFonts w:ascii="Times New Roman" w:hAnsi="Times New Roman" w:cs="Times New Roman"/>
          <w:color w:val="000000" w:themeColor="text1"/>
          <w:sz w:val="28"/>
          <w:szCs w:val="28"/>
          <w:lang w:val="en-US"/>
        </w:rPr>
      </w:pPr>
      <w:r w:rsidRPr="004C7EA0">
        <w:rPr>
          <w:rFonts w:ascii="Times New Roman" w:hAnsi="Times New Roman" w:cs="Times New Roman"/>
          <w:color w:val="000000" w:themeColor="text1"/>
          <w:sz w:val="28"/>
          <w:szCs w:val="28"/>
          <w:shd w:val="clear" w:color="auto" w:fill="FFFFFF"/>
          <w:lang w:val="en-US"/>
        </w:rPr>
        <w:t xml:space="preserve">Krueger, Philipp and Sautner, Zacharias and Tang, Dragon </w:t>
      </w:r>
      <w:proofErr w:type="spellStart"/>
      <w:r w:rsidRPr="004C7EA0">
        <w:rPr>
          <w:rFonts w:ascii="Times New Roman" w:hAnsi="Times New Roman" w:cs="Times New Roman"/>
          <w:color w:val="000000" w:themeColor="text1"/>
          <w:sz w:val="28"/>
          <w:szCs w:val="28"/>
          <w:shd w:val="clear" w:color="auto" w:fill="FFFFFF"/>
          <w:lang w:val="en-US"/>
        </w:rPr>
        <w:t>Yongjun</w:t>
      </w:r>
      <w:proofErr w:type="spellEnd"/>
      <w:r w:rsidRPr="004C7EA0">
        <w:rPr>
          <w:rFonts w:ascii="Times New Roman" w:hAnsi="Times New Roman" w:cs="Times New Roman"/>
          <w:color w:val="000000" w:themeColor="text1"/>
          <w:sz w:val="28"/>
          <w:szCs w:val="28"/>
          <w:shd w:val="clear" w:color="auto" w:fill="FFFFFF"/>
          <w:lang w:val="en-US"/>
        </w:rPr>
        <w:t xml:space="preserve"> and Zhong, Rui, The Effects of Mandatory ESG Disclosure Around the World, 2023. European Corporate Governance Institute – Finance Working Paper No. 754/2021, Swiss Finance Institute Research Paper No. 21-44. </w:t>
      </w:r>
      <w:r w:rsidRPr="004C7EA0">
        <w:rPr>
          <w:rFonts w:ascii="Times New Roman" w:hAnsi="Times New Roman" w:cs="Times New Roman"/>
          <w:color w:val="000000" w:themeColor="text1"/>
          <w:sz w:val="28"/>
          <w:szCs w:val="28"/>
        </w:rPr>
        <w:t xml:space="preserve">(дата обращения: </w:t>
      </w:r>
      <w:proofErr w:type="gramStart"/>
      <w:r w:rsidRPr="004C7EA0">
        <w:rPr>
          <w:rFonts w:ascii="Times New Roman" w:hAnsi="Times New Roman" w:cs="Times New Roman"/>
          <w:color w:val="000000" w:themeColor="text1"/>
          <w:sz w:val="28"/>
          <w:szCs w:val="28"/>
        </w:rPr>
        <w:t>4.</w:t>
      </w:r>
      <w:r w:rsidRPr="004C7EA0">
        <w:rPr>
          <w:rFonts w:ascii="Times New Roman" w:hAnsi="Times New Roman" w:cs="Times New Roman"/>
          <w:color w:val="000000" w:themeColor="text1"/>
          <w:sz w:val="28"/>
          <w:szCs w:val="28"/>
          <w:lang w:val="en-US"/>
        </w:rPr>
        <w:t>March</w:t>
      </w:r>
      <w:proofErr w:type="gramEnd"/>
      <w:r w:rsidRPr="004C7EA0">
        <w:rPr>
          <w:rFonts w:ascii="Times New Roman" w:hAnsi="Times New Roman" w:cs="Times New Roman"/>
          <w:color w:val="000000" w:themeColor="text1"/>
          <w:sz w:val="28"/>
          <w:szCs w:val="28"/>
        </w:rPr>
        <w:t>.2023).</w:t>
      </w:r>
    </w:p>
    <w:p w14:paraId="49486C6E" w14:textId="77777777" w:rsidR="00834AB1" w:rsidRDefault="00834AB1" w:rsidP="00F90684">
      <w:pPr>
        <w:pStyle w:val="FootnoteText"/>
        <w:numPr>
          <w:ilvl w:val="0"/>
          <w:numId w:val="3"/>
        </w:numPr>
        <w:spacing w:line="24" w:lineRule="atLeast"/>
        <w:ind w:left="0" w:firstLine="709"/>
        <w:contextualSpacing/>
        <w:jc w:val="both"/>
        <w:rPr>
          <w:rFonts w:ascii="Times New Roman" w:hAnsi="Times New Roman" w:cs="Times New Roman"/>
          <w:color w:val="000000" w:themeColor="text1"/>
          <w:sz w:val="28"/>
          <w:szCs w:val="28"/>
        </w:rPr>
      </w:pPr>
      <w:proofErr w:type="spellStart"/>
      <w:r w:rsidRPr="004C7EA0">
        <w:rPr>
          <w:rFonts w:ascii="Times New Roman" w:hAnsi="Times New Roman" w:cs="Times New Roman"/>
          <w:color w:val="000000" w:themeColor="text1"/>
          <w:sz w:val="28"/>
          <w:szCs w:val="28"/>
          <w:shd w:val="clear" w:color="auto" w:fill="FFFFFF"/>
          <w:lang w:val="en-US"/>
        </w:rPr>
        <w:t>Larcker</w:t>
      </w:r>
      <w:proofErr w:type="spellEnd"/>
      <w:r w:rsidRPr="004C7EA0">
        <w:rPr>
          <w:rFonts w:ascii="Times New Roman" w:hAnsi="Times New Roman" w:cs="Times New Roman"/>
          <w:color w:val="000000" w:themeColor="text1"/>
          <w:sz w:val="28"/>
          <w:szCs w:val="28"/>
          <w:shd w:val="clear" w:color="auto" w:fill="FFFFFF"/>
          <w:lang w:val="en-US"/>
        </w:rPr>
        <w:t xml:space="preserve">, David F. and </w:t>
      </w:r>
      <w:proofErr w:type="spellStart"/>
      <w:r w:rsidRPr="004C7EA0">
        <w:rPr>
          <w:rFonts w:ascii="Times New Roman" w:hAnsi="Times New Roman" w:cs="Times New Roman"/>
          <w:color w:val="000000" w:themeColor="text1"/>
          <w:sz w:val="28"/>
          <w:szCs w:val="28"/>
          <w:shd w:val="clear" w:color="auto" w:fill="FFFFFF"/>
          <w:lang w:val="en-US"/>
        </w:rPr>
        <w:t>Pomorski</w:t>
      </w:r>
      <w:proofErr w:type="spellEnd"/>
      <w:r w:rsidRPr="004C7EA0">
        <w:rPr>
          <w:rFonts w:ascii="Times New Roman" w:hAnsi="Times New Roman" w:cs="Times New Roman"/>
          <w:color w:val="000000" w:themeColor="text1"/>
          <w:sz w:val="28"/>
          <w:szCs w:val="28"/>
          <w:shd w:val="clear" w:color="auto" w:fill="FFFFFF"/>
          <w:lang w:val="en-US"/>
        </w:rPr>
        <w:t xml:space="preserve">, Lukasz and </w:t>
      </w:r>
      <w:proofErr w:type="spellStart"/>
      <w:r w:rsidRPr="004C7EA0">
        <w:rPr>
          <w:rFonts w:ascii="Times New Roman" w:hAnsi="Times New Roman" w:cs="Times New Roman"/>
          <w:color w:val="000000" w:themeColor="text1"/>
          <w:sz w:val="28"/>
          <w:szCs w:val="28"/>
          <w:shd w:val="clear" w:color="auto" w:fill="FFFFFF"/>
          <w:lang w:val="en-US"/>
        </w:rPr>
        <w:t>Tayan</w:t>
      </w:r>
      <w:proofErr w:type="spellEnd"/>
      <w:r w:rsidRPr="004C7EA0">
        <w:rPr>
          <w:rFonts w:ascii="Times New Roman" w:hAnsi="Times New Roman" w:cs="Times New Roman"/>
          <w:color w:val="000000" w:themeColor="text1"/>
          <w:sz w:val="28"/>
          <w:szCs w:val="28"/>
          <w:shd w:val="clear" w:color="auto" w:fill="FFFFFF"/>
          <w:lang w:val="en-US"/>
        </w:rPr>
        <w:t xml:space="preserve">, Brian and Watts, Edward. ESG Ratings: A Compass without Direction // Rock Center for Corporate Governance at Stanford University Working Paper Forthcoming. </w:t>
      </w:r>
      <w:r w:rsidRPr="004C7EA0">
        <w:rPr>
          <w:rFonts w:ascii="Times New Roman" w:hAnsi="Times New Roman" w:cs="Times New Roman"/>
          <w:color w:val="000000" w:themeColor="text1"/>
          <w:sz w:val="28"/>
          <w:szCs w:val="28"/>
          <w:shd w:val="clear" w:color="auto" w:fill="FFFFFF"/>
        </w:rPr>
        <w:t xml:space="preserve">2022. </w:t>
      </w:r>
      <w:r w:rsidRPr="004C7EA0">
        <w:rPr>
          <w:rFonts w:ascii="Times New Roman" w:hAnsi="Times New Roman" w:cs="Times New Roman"/>
          <w:color w:val="000000" w:themeColor="text1"/>
          <w:sz w:val="28"/>
          <w:szCs w:val="28"/>
          <w:shd w:val="clear" w:color="auto" w:fill="FFFFFF"/>
          <w:lang w:val="en-US"/>
        </w:rPr>
        <w:t>URL</w:t>
      </w:r>
      <w:r w:rsidRPr="004C7EA0">
        <w:rPr>
          <w:rFonts w:ascii="Times New Roman" w:hAnsi="Times New Roman" w:cs="Times New Roman"/>
          <w:color w:val="000000" w:themeColor="text1"/>
          <w:sz w:val="28"/>
          <w:szCs w:val="28"/>
          <w:shd w:val="clear" w:color="auto" w:fill="FFFFFF"/>
        </w:rPr>
        <w:t xml:space="preserve">: </w:t>
      </w:r>
      <w:hyperlink r:id="rId11" w:history="1">
        <w:r w:rsidRPr="004C7EA0">
          <w:rPr>
            <w:rStyle w:val="Hyperlink"/>
            <w:rFonts w:ascii="Times New Roman" w:hAnsi="Times New Roman" w:cs="Times New Roman"/>
            <w:color w:val="000000" w:themeColor="text1"/>
            <w:sz w:val="28"/>
            <w:szCs w:val="28"/>
            <w:lang w:val="en-US"/>
          </w:rPr>
          <w:t>https</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papers</w:t>
        </w:r>
        <w:r w:rsidRPr="004C7EA0">
          <w:rPr>
            <w:rStyle w:val="Hyperlink"/>
            <w:rFonts w:ascii="Times New Roman" w:hAnsi="Times New Roman" w:cs="Times New Roman"/>
            <w:color w:val="000000" w:themeColor="text1"/>
            <w:sz w:val="28"/>
            <w:szCs w:val="28"/>
          </w:rPr>
          <w:t>.</w:t>
        </w:r>
        <w:proofErr w:type="spellStart"/>
        <w:r w:rsidRPr="004C7EA0">
          <w:rPr>
            <w:rStyle w:val="Hyperlink"/>
            <w:rFonts w:ascii="Times New Roman" w:hAnsi="Times New Roman" w:cs="Times New Roman"/>
            <w:color w:val="000000" w:themeColor="text1"/>
            <w:sz w:val="28"/>
            <w:szCs w:val="28"/>
            <w:lang w:val="en-US"/>
          </w:rPr>
          <w:t>ssrn</w:t>
        </w:r>
        <w:proofErr w:type="spellEnd"/>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com</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sol</w:t>
        </w:r>
        <w:r w:rsidRPr="004C7EA0">
          <w:rPr>
            <w:rStyle w:val="Hyperlink"/>
            <w:rFonts w:ascii="Times New Roman" w:hAnsi="Times New Roman" w:cs="Times New Roman"/>
            <w:color w:val="000000" w:themeColor="text1"/>
            <w:sz w:val="28"/>
            <w:szCs w:val="28"/>
          </w:rPr>
          <w:t>3/</w:t>
        </w:r>
        <w:r w:rsidRPr="004C7EA0">
          <w:rPr>
            <w:rStyle w:val="Hyperlink"/>
            <w:rFonts w:ascii="Times New Roman" w:hAnsi="Times New Roman" w:cs="Times New Roman"/>
            <w:color w:val="000000" w:themeColor="text1"/>
            <w:sz w:val="28"/>
            <w:szCs w:val="28"/>
            <w:lang w:val="en-US"/>
          </w:rPr>
          <w:t>papers</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cfm</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abstract</w:t>
        </w:r>
        <w:r w:rsidRPr="004C7EA0">
          <w:rPr>
            <w:rStyle w:val="Hyperlink"/>
            <w:rFonts w:ascii="Times New Roman" w:hAnsi="Times New Roman" w:cs="Times New Roman"/>
            <w:color w:val="000000" w:themeColor="text1"/>
            <w:sz w:val="28"/>
            <w:szCs w:val="28"/>
          </w:rPr>
          <w:t>_</w:t>
        </w:r>
        <w:r w:rsidRPr="004C7EA0">
          <w:rPr>
            <w:rStyle w:val="Hyperlink"/>
            <w:rFonts w:ascii="Times New Roman" w:hAnsi="Times New Roman" w:cs="Times New Roman"/>
            <w:color w:val="000000" w:themeColor="text1"/>
            <w:sz w:val="28"/>
            <w:szCs w:val="28"/>
            <w:lang w:val="en-US"/>
          </w:rPr>
          <w:t>id</w:t>
        </w:r>
        <w:r w:rsidRPr="004C7EA0">
          <w:rPr>
            <w:rStyle w:val="Hyperlink"/>
            <w:rFonts w:ascii="Times New Roman" w:hAnsi="Times New Roman" w:cs="Times New Roman"/>
            <w:color w:val="000000" w:themeColor="text1"/>
            <w:sz w:val="28"/>
            <w:szCs w:val="28"/>
          </w:rPr>
          <w:t>=4179647\</w:t>
        </w:r>
      </w:hyperlink>
      <w:r w:rsidRPr="004C7EA0">
        <w:rPr>
          <w:rFonts w:ascii="Times New Roman" w:hAnsi="Times New Roman" w:cs="Times New Roman"/>
          <w:color w:val="000000" w:themeColor="text1"/>
          <w:sz w:val="28"/>
          <w:szCs w:val="28"/>
        </w:rPr>
        <w:t xml:space="preserve"> (дата обращения: 4.</w:t>
      </w:r>
      <w:r w:rsidRPr="004C7EA0">
        <w:rPr>
          <w:rFonts w:ascii="Times New Roman" w:hAnsi="Times New Roman" w:cs="Times New Roman"/>
          <w:color w:val="000000" w:themeColor="text1"/>
          <w:sz w:val="28"/>
          <w:szCs w:val="28"/>
          <w:lang w:val="en-US"/>
        </w:rPr>
        <w:t>March</w:t>
      </w:r>
      <w:r w:rsidRPr="004C7EA0">
        <w:rPr>
          <w:rFonts w:ascii="Times New Roman" w:hAnsi="Times New Roman" w:cs="Times New Roman"/>
          <w:color w:val="000000" w:themeColor="text1"/>
          <w:sz w:val="28"/>
          <w:szCs w:val="28"/>
        </w:rPr>
        <w:t>.2023).</w:t>
      </w:r>
    </w:p>
    <w:p w14:paraId="7A749159" w14:textId="77777777" w:rsidR="00834AB1" w:rsidRPr="004C7EA0" w:rsidRDefault="00834AB1" w:rsidP="00F90684">
      <w:pPr>
        <w:pStyle w:val="FootnoteText"/>
        <w:numPr>
          <w:ilvl w:val="0"/>
          <w:numId w:val="3"/>
        </w:numPr>
        <w:spacing w:line="24" w:lineRule="atLeast"/>
        <w:ind w:left="0" w:firstLine="709"/>
        <w:contextualSpacing/>
        <w:jc w:val="both"/>
        <w:rPr>
          <w:rFonts w:ascii="Times New Roman" w:hAnsi="Times New Roman" w:cs="Times New Roman"/>
          <w:color w:val="000000" w:themeColor="text1"/>
          <w:sz w:val="28"/>
          <w:szCs w:val="28"/>
        </w:rPr>
      </w:pPr>
      <w:r w:rsidRPr="004C7EA0">
        <w:rPr>
          <w:rFonts w:ascii="Times New Roman" w:hAnsi="Times New Roman" w:cs="Times New Roman"/>
          <w:bCs/>
          <w:color w:val="000000" w:themeColor="text1"/>
          <w:sz w:val="28"/>
          <w:szCs w:val="28"/>
          <w:shd w:val="clear" w:color="auto" w:fill="FFFFFF"/>
          <w:lang w:val="en-US"/>
        </w:rPr>
        <w:t xml:space="preserve">OECD. Policy guidance on </w:t>
      </w:r>
      <w:proofErr w:type="gramStart"/>
      <w:r w:rsidRPr="004C7EA0">
        <w:rPr>
          <w:rFonts w:ascii="Times New Roman" w:hAnsi="Times New Roman" w:cs="Times New Roman"/>
          <w:bCs/>
          <w:color w:val="000000" w:themeColor="text1"/>
          <w:sz w:val="28"/>
          <w:szCs w:val="28"/>
          <w:shd w:val="clear" w:color="auto" w:fill="FFFFFF"/>
          <w:lang w:val="en-US"/>
        </w:rPr>
        <w:t>market  practices</w:t>
      </w:r>
      <w:proofErr w:type="gramEnd"/>
      <w:r w:rsidRPr="004C7EA0">
        <w:rPr>
          <w:rFonts w:ascii="Times New Roman" w:hAnsi="Times New Roman" w:cs="Times New Roman"/>
          <w:bCs/>
          <w:color w:val="000000" w:themeColor="text1"/>
          <w:sz w:val="28"/>
          <w:szCs w:val="28"/>
          <w:shd w:val="clear" w:color="auto" w:fill="FFFFFF"/>
          <w:lang w:val="en-US"/>
        </w:rPr>
        <w:t xml:space="preserve"> to strengthen ESG  investing and finance a climate transition // OECD. 2022. URL</w:t>
      </w:r>
      <w:r w:rsidRPr="004C7EA0">
        <w:rPr>
          <w:rFonts w:ascii="Times New Roman" w:hAnsi="Times New Roman" w:cs="Times New Roman"/>
          <w:bCs/>
          <w:color w:val="000000" w:themeColor="text1"/>
          <w:sz w:val="28"/>
          <w:szCs w:val="28"/>
          <w:shd w:val="clear" w:color="auto" w:fill="FFFFFF"/>
        </w:rPr>
        <w:t xml:space="preserve">: </w:t>
      </w:r>
      <w:hyperlink r:id="rId12" w:history="1">
        <w:r w:rsidRPr="004C7EA0">
          <w:rPr>
            <w:rStyle w:val="Hyperlink"/>
            <w:rFonts w:ascii="Times New Roman" w:hAnsi="Times New Roman" w:cs="Times New Roman"/>
            <w:color w:val="000000" w:themeColor="text1"/>
            <w:sz w:val="28"/>
            <w:szCs w:val="28"/>
            <w:lang w:val="en-US"/>
          </w:rPr>
          <w:t>https</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www</w:t>
        </w:r>
        <w:r w:rsidRPr="004C7EA0">
          <w:rPr>
            <w:rStyle w:val="Hyperlink"/>
            <w:rFonts w:ascii="Times New Roman" w:hAnsi="Times New Roman" w:cs="Times New Roman"/>
            <w:color w:val="000000" w:themeColor="text1"/>
            <w:sz w:val="28"/>
            <w:szCs w:val="28"/>
          </w:rPr>
          <w:t>.</w:t>
        </w:r>
        <w:proofErr w:type="spellStart"/>
        <w:r w:rsidRPr="004C7EA0">
          <w:rPr>
            <w:rStyle w:val="Hyperlink"/>
            <w:rFonts w:ascii="Times New Roman" w:hAnsi="Times New Roman" w:cs="Times New Roman"/>
            <w:color w:val="000000" w:themeColor="text1"/>
            <w:sz w:val="28"/>
            <w:szCs w:val="28"/>
            <w:lang w:val="en-US"/>
          </w:rPr>
          <w:t>oecd</w:t>
        </w:r>
        <w:proofErr w:type="spellEnd"/>
        <w:r w:rsidRPr="004C7EA0">
          <w:rPr>
            <w:rStyle w:val="Hyperlink"/>
            <w:rFonts w:ascii="Times New Roman" w:hAnsi="Times New Roman" w:cs="Times New Roman"/>
            <w:color w:val="000000" w:themeColor="text1"/>
            <w:sz w:val="28"/>
            <w:szCs w:val="28"/>
          </w:rPr>
          <w:t>-</w:t>
        </w:r>
        <w:proofErr w:type="spellStart"/>
        <w:r w:rsidRPr="004C7EA0">
          <w:rPr>
            <w:rStyle w:val="Hyperlink"/>
            <w:rFonts w:ascii="Times New Roman" w:hAnsi="Times New Roman" w:cs="Times New Roman"/>
            <w:color w:val="000000" w:themeColor="text1"/>
            <w:sz w:val="28"/>
            <w:szCs w:val="28"/>
            <w:lang w:val="en-US"/>
          </w:rPr>
          <w:t>ilibrary</w:t>
        </w:r>
        <w:proofErr w:type="spellEnd"/>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org</w:t>
        </w:r>
        <w:r w:rsidRPr="004C7EA0">
          <w:rPr>
            <w:rStyle w:val="Hyperlink"/>
            <w:rFonts w:ascii="Times New Roman" w:hAnsi="Times New Roman" w:cs="Times New Roman"/>
            <w:color w:val="000000" w:themeColor="text1"/>
            <w:sz w:val="28"/>
            <w:szCs w:val="28"/>
          </w:rPr>
          <w:t>/</w:t>
        </w:r>
        <w:proofErr w:type="spellStart"/>
        <w:r w:rsidRPr="004C7EA0">
          <w:rPr>
            <w:rStyle w:val="Hyperlink"/>
            <w:rFonts w:ascii="Times New Roman" w:hAnsi="Times New Roman" w:cs="Times New Roman"/>
            <w:color w:val="000000" w:themeColor="text1"/>
            <w:sz w:val="28"/>
            <w:szCs w:val="28"/>
            <w:lang w:val="en-US"/>
          </w:rPr>
          <w:t>docserver</w:t>
        </w:r>
        <w:proofErr w:type="spellEnd"/>
        <w:r w:rsidRPr="004C7EA0">
          <w:rPr>
            <w:rStyle w:val="Hyperlink"/>
            <w:rFonts w:ascii="Times New Roman" w:hAnsi="Times New Roman" w:cs="Times New Roman"/>
            <w:color w:val="000000" w:themeColor="text1"/>
            <w:sz w:val="28"/>
            <w:szCs w:val="28"/>
          </w:rPr>
          <w:t>/2</w:t>
        </w:r>
        <w:r w:rsidRPr="004C7EA0">
          <w:rPr>
            <w:rStyle w:val="Hyperlink"/>
            <w:rFonts w:ascii="Times New Roman" w:hAnsi="Times New Roman" w:cs="Times New Roman"/>
            <w:color w:val="000000" w:themeColor="text1"/>
            <w:sz w:val="28"/>
            <w:szCs w:val="28"/>
            <w:lang w:val="en-US"/>
          </w:rPr>
          <w:t>c</w:t>
        </w:r>
        <w:r w:rsidRPr="004C7EA0">
          <w:rPr>
            <w:rStyle w:val="Hyperlink"/>
            <w:rFonts w:ascii="Times New Roman" w:hAnsi="Times New Roman" w:cs="Times New Roman"/>
            <w:color w:val="000000" w:themeColor="text1"/>
            <w:sz w:val="28"/>
            <w:szCs w:val="28"/>
          </w:rPr>
          <w:t>5</w:t>
        </w:r>
        <w:r w:rsidRPr="004C7EA0">
          <w:rPr>
            <w:rStyle w:val="Hyperlink"/>
            <w:rFonts w:ascii="Times New Roman" w:hAnsi="Times New Roman" w:cs="Times New Roman"/>
            <w:color w:val="000000" w:themeColor="text1"/>
            <w:sz w:val="28"/>
            <w:szCs w:val="28"/>
            <w:lang w:val="en-US"/>
          </w:rPr>
          <w:t>b</w:t>
        </w:r>
        <w:r w:rsidRPr="004C7EA0">
          <w:rPr>
            <w:rStyle w:val="Hyperlink"/>
            <w:rFonts w:ascii="Times New Roman" w:hAnsi="Times New Roman" w:cs="Times New Roman"/>
            <w:color w:val="000000" w:themeColor="text1"/>
            <w:sz w:val="28"/>
            <w:szCs w:val="28"/>
          </w:rPr>
          <w:t>535</w:t>
        </w:r>
        <w:r w:rsidRPr="004C7EA0">
          <w:rPr>
            <w:rStyle w:val="Hyperlink"/>
            <w:rFonts w:ascii="Times New Roman" w:hAnsi="Times New Roman" w:cs="Times New Roman"/>
            <w:color w:val="000000" w:themeColor="text1"/>
            <w:sz w:val="28"/>
            <w:szCs w:val="28"/>
            <w:lang w:val="en-US"/>
          </w:rPr>
          <w:t>c</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en</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pdf</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expires</w:t>
        </w:r>
        <w:r w:rsidRPr="004C7EA0">
          <w:rPr>
            <w:rStyle w:val="Hyperlink"/>
            <w:rFonts w:ascii="Times New Roman" w:hAnsi="Times New Roman" w:cs="Times New Roman"/>
            <w:color w:val="000000" w:themeColor="text1"/>
            <w:sz w:val="28"/>
            <w:szCs w:val="28"/>
          </w:rPr>
          <w:t>=1678203099&amp;</w:t>
        </w:r>
        <w:r w:rsidRPr="004C7EA0">
          <w:rPr>
            <w:rStyle w:val="Hyperlink"/>
            <w:rFonts w:ascii="Times New Roman" w:hAnsi="Times New Roman" w:cs="Times New Roman"/>
            <w:color w:val="000000" w:themeColor="text1"/>
            <w:sz w:val="28"/>
            <w:szCs w:val="28"/>
            <w:lang w:val="en-US"/>
          </w:rPr>
          <w:t>id</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id</w:t>
        </w:r>
        <w:r w:rsidRPr="004C7EA0">
          <w:rPr>
            <w:rStyle w:val="Hyperlink"/>
            <w:rFonts w:ascii="Times New Roman" w:hAnsi="Times New Roman" w:cs="Times New Roman"/>
            <w:color w:val="000000" w:themeColor="text1"/>
            <w:sz w:val="28"/>
            <w:szCs w:val="28"/>
          </w:rPr>
          <w:t>&amp;</w:t>
        </w:r>
        <w:proofErr w:type="spellStart"/>
        <w:r w:rsidRPr="004C7EA0">
          <w:rPr>
            <w:rStyle w:val="Hyperlink"/>
            <w:rFonts w:ascii="Times New Roman" w:hAnsi="Times New Roman" w:cs="Times New Roman"/>
            <w:color w:val="000000" w:themeColor="text1"/>
            <w:sz w:val="28"/>
            <w:szCs w:val="28"/>
            <w:lang w:val="en-US"/>
          </w:rPr>
          <w:t>accname</w:t>
        </w:r>
        <w:proofErr w:type="spellEnd"/>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guest</w:t>
        </w:r>
        <w:r w:rsidRPr="004C7EA0">
          <w:rPr>
            <w:rStyle w:val="Hyperlink"/>
            <w:rFonts w:ascii="Times New Roman" w:hAnsi="Times New Roman" w:cs="Times New Roman"/>
            <w:color w:val="000000" w:themeColor="text1"/>
            <w:sz w:val="28"/>
            <w:szCs w:val="28"/>
          </w:rPr>
          <w:t>&amp;</w:t>
        </w:r>
        <w:r w:rsidRPr="004C7EA0">
          <w:rPr>
            <w:rStyle w:val="Hyperlink"/>
            <w:rFonts w:ascii="Times New Roman" w:hAnsi="Times New Roman" w:cs="Times New Roman"/>
            <w:color w:val="000000" w:themeColor="text1"/>
            <w:sz w:val="28"/>
            <w:szCs w:val="28"/>
            <w:lang w:val="en-US"/>
          </w:rPr>
          <w:t>checksum</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FDF</w:t>
        </w:r>
        <w:r w:rsidRPr="004C7EA0">
          <w:rPr>
            <w:rStyle w:val="Hyperlink"/>
            <w:rFonts w:ascii="Times New Roman" w:hAnsi="Times New Roman" w:cs="Times New Roman"/>
            <w:color w:val="000000" w:themeColor="text1"/>
            <w:sz w:val="28"/>
            <w:szCs w:val="28"/>
          </w:rPr>
          <w:t>8121</w:t>
        </w:r>
        <w:r w:rsidRPr="004C7EA0">
          <w:rPr>
            <w:rStyle w:val="Hyperlink"/>
            <w:rFonts w:ascii="Times New Roman" w:hAnsi="Times New Roman" w:cs="Times New Roman"/>
            <w:color w:val="000000" w:themeColor="text1"/>
            <w:sz w:val="28"/>
            <w:szCs w:val="28"/>
            <w:lang w:val="en-US"/>
          </w:rPr>
          <w:t>F</w:t>
        </w:r>
        <w:r w:rsidRPr="004C7EA0">
          <w:rPr>
            <w:rStyle w:val="Hyperlink"/>
            <w:rFonts w:ascii="Times New Roman" w:hAnsi="Times New Roman" w:cs="Times New Roman"/>
            <w:color w:val="000000" w:themeColor="text1"/>
            <w:sz w:val="28"/>
            <w:szCs w:val="28"/>
          </w:rPr>
          <w:t>8</w:t>
        </w:r>
        <w:r w:rsidRPr="004C7EA0">
          <w:rPr>
            <w:rStyle w:val="Hyperlink"/>
            <w:rFonts w:ascii="Times New Roman" w:hAnsi="Times New Roman" w:cs="Times New Roman"/>
            <w:color w:val="000000" w:themeColor="text1"/>
            <w:sz w:val="28"/>
            <w:szCs w:val="28"/>
            <w:lang w:val="en-US"/>
          </w:rPr>
          <w:t>B</w:t>
        </w:r>
        <w:r w:rsidRPr="004C7EA0">
          <w:rPr>
            <w:rStyle w:val="Hyperlink"/>
            <w:rFonts w:ascii="Times New Roman" w:hAnsi="Times New Roman" w:cs="Times New Roman"/>
            <w:color w:val="000000" w:themeColor="text1"/>
            <w:sz w:val="28"/>
            <w:szCs w:val="28"/>
          </w:rPr>
          <w:t>32</w:t>
        </w:r>
        <w:r w:rsidRPr="004C7EA0">
          <w:rPr>
            <w:rStyle w:val="Hyperlink"/>
            <w:rFonts w:ascii="Times New Roman" w:hAnsi="Times New Roman" w:cs="Times New Roman"/>
            <w:color w:val="000000" w:themeColor="text1"/>
            <w:sz w:val="28"/>
            <w:szCs w:val="28"/>
            <w:lang w:val="en-US"/>
          </w:rPr>
          <w:t>F</w:t>
        </w:r>
        <w:r w:rsidRPr="004C7EA0">
          <w:rPr>
            <w:rStyle w:val="Hyperlink"/>
            <w:rFonts w:ascii="Times New Roman" w:hAnsi="Times New Roman" w:cs="Times New Roman"/>
            <w:color w:val="000000" w:themeColor="text1"/>
            <w:sz w:val="28"/>
            <w:szCs w:val="28"/>
          </w:rPr>
          <w:t>7</w:t>
        </w:r>
        <w:r w:rsidRPr="004C7EA0">
          <w:rPr>
            <w:rStyle w:val="Hyperlink"/>
            <w:rFonts w:ascii="Times New Roman" w:hAnsi="Times New Roman" w:cs="Times New Roman"/>
            <w:color w:val="000000" w:themeColor="text1"/>
            <w:sz w:val="28"/>
            <w:szCs w:val="28"/>
            <w:lang w:val="en-US"/>
          </w:rPr>
          <w:t>B</w:t>
        </w:r>
        <w:r w:rsidRPr="004C7EA0">
          <w:rPr>
            <w:rStyle w:val="Hyperlink"/>
            <w:rFonts w:ascii="Times New Roman" w:hAnsi="Times New Roman" w:cs="Times New Roman"/>
            <w:color w:val="000000" w:themeColor="text1"/>
            <w:sz w:val="28"/>
            <w:szCs w:val="28"/>
          </w:rPr>
          <w:t>1</w:t>
        </w:r>
        <w:r w:rsidRPr="004C7EA0">
          <w:rPr>
            <w:rStyle w:val="Hyperlink"/>
            <w:rFonts w:ascii="Times New Roman" w:hAnsi="Times New Roman" w:cs="Times New Roman"/>
            <w:color w:val="000000" w:themeColor="text1"/>
            <w:sz w:val="28"/>
            <w:szCs w:val="28"/>
            <w:lang w:val="en-US"/>
          </w:rPr>
          <w:t>F</w:t>
        </w:r>
        <w:r w:rsidRPr="004C7EA0">
          <w:rPr>
            <w:rStyle w:val="Hyperlink"/>
            <w:rFonts w:ascii="Times New Roman" w:hAnsi="Times New Roman" w:cs="Times New Roman"/>
            <w:color w:val="000000" w:themeColor="text1"/>
            <w:sz w:val="28"/>
            <w:szCs w:val="28"/>
          </w:rPr>
          <w:t>2</w:t>
        </w:r>
        <w:r w:rsidRPr="004C7EA0">
          <w:rPr>
            <w:rStyle w:val="Hyperlink"/>
            <w:rFonts w:ascii="Times New Roman" w:hAnsi="Times New Roman" w:cs="Times New Roman"/>
            <w:color w:val="000000" w:themeColor="text1"/>
            <w:sz w:val="28"/>
            <w:szCs w:val="28"/>
            <w:lang w:val="en-US"/>
          </w:rPr>
          <w:t>DF</w:t>
        </w:r>
        <w:r w:rsidRPr="004C7EA0">
          <w:rPr>
            <w:rStyle w:val="Hyperlink"/>
            <w:rFonts w:ascii="Times New Roman" w:hAnsi="Times New Roman" w:cs="Times New Roman"/>
            <w:color w:val="000000" w:themeColor="text1"/>
            <w:sz w:val="28"/>
            <w:szCs w:val="28"/>
          </w:rPr>
          <w:t>0</w:t>
        </w:r>
        <w:r w:rsidRPr="004C7EA0">
          <w:rPr>
            <w:rStyle w:val="Hyperlink"/>
            <w:rFonts w:ascii="Times New Roman" w:hAnsi="Times New Roman" w:cs="Times New Roman"/>
            <w:color w:val="000000" w:themeColor="text1"/>
            <w:sz w:val="28"/>
            <w:szCs w:val="28"/>
            <w:lang w:val="en-US"/>
          </w:rPr>
          <w:t>EC</w:t>
        </w:r>
        <w:r w:rsidRPr="004C7EA0">
          <w:rPr>
            <w:rStyle w:val="Hyperlink"/>
            <w:rFonts w:ascii="Times New Roman" w:hAnsi="Times New Roman" w:cs="Times New Roman"/>
            <w:color w:val="000000" w:themeColor="text1"/>
            <w:sz w:val="28"/>
            <w:szCs w:val="28"/>
          </w:rPr>
          <w:t>32</w:t>
        </w:r>
        <w:r w:rsidRPr="004C7EA0">
          <w:rPr>
            <w:rStyle w:val="Hyperlink"/>
            <w:rFonts w:ascii="Times New Roman" w:hAnsi="Times New Roman" w:cs="Times New Roman"/>
            <w:color w:val="000000" w:themeColor="text1"/>
            <w:sz w:val="28"/>
            <w:szCs w:val="28"/>
            <w:lang w:val="en-US"/>
          </w:rPr>
          <w:t>E</w:t>
        </w:r>
        <w:r w:rsidRPr="004C7EA0">
          <w:rPr>
            <w:rStyle w:val="Hyperlink"/>
            <w:rFonts w:ascii="Times New Roman" w:hAnsi="Times New Roman" w:cs="Times New Roman"/>
            <w:color w:val="000000" w:themeColor="text1"/>
            <w:sz w:val="28"/>
            <w:szCs w:val="28"/>
          </w:rPr>
          <w:t>4</w:t>
        </w:r>
        <w:r w:rsidRPr="004C7EA0">
          <w:rPr>
            <w:rStyle w:val="Hyperlink"/>
            <w:rFonts w:ascii="Times New Roman" w:hAnsi="Times New Roman" w:cs="Times New Roman"/>
            <w:color w:val="000000" w:themeColor="text1"/>
            <w:sz w:val="28"/>
            <w:szCs w:val="28"/>
            <w:lang w:val="en-US"/>
          </w:rPr>
          <w:t>A</w:t>
        </w:r>
        <w:r w:rsidRPr="004C7EA0">
          <w:rPr>
            <w:rStyle w:val="Hyperlink"/>
            <w:rFonts w:ascii="Times New Roman" w:hAnsi="Times New Roman" w:cs="Times New Roman"/>
            <w:color w:val="000000" w:themeColor="text1"/>
            <w:sz w:val="28"/>
            <w:szCs w:val="28"/>
          </w:rPr>
          <w:t>4</w:t>
        </w:r>
        <w:r w:rsidRPr="004C7EA0">
          <w:rPr>
            <w:rStyle w:val="Hyperlink"/>
            <w:rFonts w:ascii="Times New Roman" w:hAnsi="Times New Roman" w:cs="Times New Roman"/>
            <w:color w:val="000000" w:themeColor="text1"/>
            <w:sz w:val="28"/>
            <w:szCs w:val="28"/>
            <w:lang w:val="en-US"/>
          </w:rPr>
          <w:t>E</w:t>
        </w:r>
        <w:r w:rsidRPr="004C7EA0">
          <w:rPr>
            <w:rStyle w:val="Hyperlink"/>
            <w:rFonts w:ascii="Times New Roman" w:hAnsi="Times New Roman" w:cs="Times New Roman"/>
            <w:color w:val="000000" w:themeColor="text1"/>
            <w:sz w:val="28"/>
            <w:szCs w:val="28"/>
          </w:rPr>
          <w:t>4</w:t>
        </w:r>
        <w:r w:rsidRPr="004C7EA0">
          <w:rPr>
            <w:rStyle w:val="Hyperlink"/>
            <w:rFonts w:ascii="Times New Roman" w:hAnsi="Times New Roman" w:cs="Times New Roman"/>
            <w:color w:val="000000" w:themeColor="text1"/>
            <w:sz w:val="28"/>
            <w:szCs w:val="28"/>
            <w:lang w:val="en-US"/>
          </w:rPr>
          <w:t>C</w:t>
        </w:r>
      </w:hyperlink>
      <w:r w:rsidRPr="004C7EA0">
        <w:rPr>
          <w:rFonts w:ascii="Times New Roman" w:hAnsi="Times New Roman" w:cs="Times New Roman"/>
          <w:color w:val="000000" w:themeColor="text1"/>
          <w:sz w:val="28"/>
          <w:szCs w:val="28"/>
        </w:rPr>
        <w:t xml:space="preserve"> (дата обращения: 4.</w:t>
      </w:r>
      <w:r w:rsidRPr="004C7EA0">
        <w:rPr>
          <w:rFonts w:ascii="Times New Roman" w:hAnsi="Times New Roman" w:cs="Times New Roman"/>
          <w:color w:val="000000" w:themeColor="text1"/>
          <w:sz w:val="28"/>
          <w:szCs w:val="28"/>
          <w:lang w:val="en-US"/>
        </w:rPr>
        <w:t>March</w:t>
      </w:r>
      <w:r w:rsidRPr="004C7EA0">
        <w:rPr>
          <w:rFonts w:ascii="Times New Roman" w:hAnsi="Times New Roman" w:cs="Times New Roman"/>
          <w:color w:val="000000" w:themeColor="text1"/>
          <w:sz w:val="28"/>
          <w:szCs w:val="28"/>
        </w:rPr>
        <w:t>.2023).</w:t>
      </w:r>
    </w:p>
    <w:p w14:paraId="64F8F7EB" w14:textId="77777777" w:rsidR="005A5221" w:rsidRPr="00F90684" w:rsidRDefault="00834AB1" w:rsidP="00F90684">
      <w:pPr>
        <w:pStyle w:val="FootnoteText"/>
        <w:numPr>
          <w:ilvl w:val="0"/>
          <w:numId w:val="3"/>
        </w:numPr>
        <w:spacing w:line="24" w:lineRule="atLeast"/>
        <w:ind w:left="0" w:firstLine="709"/>
        <w:contextualSpacing/>
        <w:jc w:val="both"/>
        <w:rPr>
          <w:rFonts w:ascii="Times New Roman" w:hAnsi="Times New Roman" w:cs="Times New Roman"/>
          <w:color w:val="000000" w:themeColor="text1"/>
          <w:sz w:val="28"/>
          <w:szCs w:val="28"/>
        </w:rPr>
      </w:pPr>
      <w:r w:rsidRPr="004C7EA0">
        <w:rPr>
          <w:rFonts w:ascii="Times New Roman" w:hAnsi="Times New Roman" w:cs="Times New Roman"/>
          <w:color w:val="000000" w:themeColor="text1"/>
          <w:sz w:val="28"/>
          <w:szCs w:val="28"/>
          <w:lang w:val="en-US"/>
        </w:rPr>
        <w:t>SEBI. Consultation Paper on Environmental, Social and Governance (ESG) Rating Providers for Securities Markets // SEBI. 2022. URL</w:t>
      </w:r>
      <w:r w:rsidRPr="004C7EA0">
        <w:rPr>
          <w:rFonts w:ascii="Times New Roman" w:hAnsi="Times New Roman" w:cs="Times New Roman"/>
          <w:color w:val="000000" w:themeColor="text1"/>
          <w:sz w:val="28"/>
          <w:szCs w:val="28"/>
        </w:rPr>
        <w:t xml:space="preserve">: </w:t>
      </w:r>
      <w:hyperlink r:id="rId13" w:history="1">
        <w:r w:rsidRPr="004C7EA0">
          <w:rPr>
            <w:rStyle w:val="Hyperlink"/>
            <w:rFonts w:ascii="Times New Roman" w:hAnsi="Times New Roman" w:cs="Times New Roman"/>
            <w:color w:val="000000" w:themeColor="text1"/>
            <w:sz w:val="28"/>
            <w:szCs w:val="28"/>
            <w:lang w:val="en-US"/>
          </w:rPr>
          <w:t>https</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www</w:t>
        </w:r>
        <w:r w:rsidRPr="004C7EA0">
          <w:rPr>
            <w:rStyle w:val="Hyperlink"/>
            <w:rFonts w:ascii="Times New Roman" w:hAnsi="Times New Roman" w:cs="Times New Roman"/>
            <w:color w:val="000000" w:themeColor="text1"/>
            <w:sz w:val="28"/>
            <w:szCs w:val="28"/>
          </w:rPr>
          <w:t>.</w:t>
        </w:r>
        <w:proofErr w:type="spellStart"/>
        <w:r w:rsidRPr="004C7EA0">
          <w:rPr>
            <w:rStyle w:val="Hyperlink"/>
            <w:rFonts w:ascii="Times New Roman" w:hAnsi="Times New Roman" w:cs="Times New Roman"/>
            <w:color w:val="000000" w:themeColor="text1"/>
            <w:sz w:val="28"/>
            <w:szCs w:val="28"/>
            <w:lang w:val="en-US"/>
          </w:rPr>
          <w:t>sebi</w:t>
        </w:r>
        <w:proofErr w:type="spellEnd"/>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gov</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in</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reports</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and</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statistics</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reports</w:t>
        </w:r>
        <w:r w:rsidRPr="004C7EA0">
          <w:rPr>
            <w:rStyle w:val="Hyperlink"/>
            <w:rFonts w:ascii="Times New Roman" w:hAnsi="Times New Roman" w:cs="Times New Roman"/>
            <w:color w:val="000000" w:themeColor="text1"/>
            <w:sz w:val="28"/>
            <w:szCs w:val="28"/>
          </w:rPr>
          <w:t>/</w:t>
        </w:r>
        <w:proofErr w:type="spellStart"/>
        <w:r w:rsidRPr="004C7EA0">
          <w:rPr>
            <w:rStyle w:val="Hyperlink"/>
            <w:rFonts w:ascii="Times New Roman" w:hAnsi="Times New Roman" w:cs="Times New Roman"/>
            <w:color w:val="000000" w:themeColor="text1"/>
            <w:sz w:val="28"/>
            <w:szCs w:val="28"/>
            <w:lang w:val="en-US"/>
          </w:rPr>
          <w:t>jan</w:t>
        </w:r>
        <w:proofErr w:type="spellEnd"/>
        <w:r w:rsidRPr="004C7EA0">
          <w:rPr>
            <w:rStyle w:val="Hyperlink"/>
            <w:rFonts w:ascii="Times New Roman" w:hAnsi="Times New Roman" w:cs="Times New Roman"/>
            <w:color w:val="000000" w:themeColor="text1"/>
            <w:sz w:val="28"/>
            <w:szCs w:val="28"/>
          </w:rPr>
          <w:t>-2022/</w:t>
        </w:r>
        <w:r w:rsidRPr="004C7EA0">
          <w:rPr>
            <w:rStyle w:val="Hyperlink"/>
            <w:rFonts w:ascii="Times New Roman" w:hAnsi="Times New Roman" w:cs="Times New Roman"/>
            <w:color w:val="000000" w:themeColor="text1"/>
            <w:sz w:val="28"/>
            <w:szCs w:val="28"/>
            <w:lang w:val="en-US"/>
          </w:rPr>
          <w:t>consultation</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paper</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on</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environmental</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social</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and</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governance</w:t>
        </w:r>
        <w:r w:rsidRPr="004C7EA0">
          <w:rPr>
            <w:rStyle w:val="Hyperlink"/>
            <w:rFonts w:ascii="Times New Roman" w:hAnsi="Times New Roman" w:cs="Times New Roman"/>
            <w:color w:val="000000" w:themeColor="text1"/>
            <w:sz w:val="28"/>
            <w:szCs w:val="28"/>
          </w:rPr>
          <w:t>-</w:t>
        </w:r>
        <w:proofErr w:type="spellStart"/>
        <w:r w:rsidRPr="004C7EA0">
          <w:rPr>
            <w:rStyle w:val="Hyperlink"/>
            <w:rFonts w:ascii="Times New Roman" w:hAnsi="Times New Roman" w:cs="Times New Roman"/>
            <w:color w:val="000000" w:themeColor="text1"/>
            <w:sz w:val="28"/>
            <w:szCs w:val="28"/>
            <w:lang w:val="en-US"/>
          </w:rPr>
          <w:t>esg</w:t>
        </w:r>
        <w:proofErr w:type="spellEnd"/>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rating</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providers</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for</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securities</w:t>
        </w:r>
        <w:r w:rsidRPr="004C7EA0">
          <w:rPr>
            <w:rStyle w:val="Hyperlink"/>
            <w:rFonts w:ascii="Times New Roman" w:hAnsi="Times New Roman" w:cs="Times New Roman"/>
            <w:color w:val="000000" w:themeColor="text1"/>
            <w:sz w:val="28"/>
            <w:szCs w:val="28"/>
          </w:rPr>
          <w:t>-</w:t>
        </w:r>
        <w:r w:rsidRPr="004C7EA0">
          <w:rPr>
            <w:rStyle w:val="Hyperlink"/>
            <w:rFonts w:ascii="Times New Roman" w:hAnsi="Times New Roman" w:cs="Times New Roman"/>
            <w:color w:val="000000" w:themeColor="text1"/>
            <w:sz w:val="28"/>
            <w:szCs w:val="28"/>
            <w:lang w:val="en-US"/>
          </w:rPr>
          <w:t>markets</w:t>
        </w:r>
        <w:r w:rsidRPr="004C7EA0">
          <w:rPr>
            <w:rStyle w:val="Hyperlink"/>
            <w:rFonts w:ascii="Times New Roman" w:hAnsi="Times New Roman" w:cs="Times New Roman"/>
            <w:color w:val="000000" w:themeColor="text1"/>
            <w:sz w:val="28"/>
            <w:szCs w:val="28"/>
          </w:rPr>
          <w:t>_55516.</w:t>
        </w:r>
        <w:r w:rsidRPr="004C7EA0">
          <w:rPr>
            <w:rStyle w:val="Hyperlink"/>
            <w:rFonts w:ascii="Times New Roman" w:hAnsi="Times New Roman" w:cs="Times New Roman"/>
            <w:color w:val="000000" w:themeColor="text1"/>
            <w:sz w:val="28"/>
            <w:szCs w:val="28"/>
            <w:lang w:val="en-US"/>
          </w:rPr>
          <w:t>html</w:t>
        </w:r>
      </w:hyperlink>
      <w:r w:rsidRPr="004C7EA0">
        <w:rPr>
          <w:rFonts w:ascii="Times New Roman" w:hAnsi="Times New Roman" w:cs="Times New Roman"/>
          <w:color w:val="000000" w:themeColor="text1"/>
          <w:sz w:val="28"/>
          <w:szCs w:val="28"/>
        </w:rPr>
        <w:t xml:space="preserve"> (дата обращения: 4.</w:t>
      </w:r>
      <w:r w:rsidRPr="004C7EA0">
        <w:rPr>
          <w:rFonts w:ascii="Times New Roman" w:hAnsi="Times New Roman" w:cs="Times New Roman"/>
          <w:color w:val="000000" w:themeColor="text1"/>
          <w:sz w:val="28"/>
          <w:szCs w:val="28"/>
          <w:lang w:val="en-US"/>
        </w:rPr>
        <w:t>March</w:t>
      </w:r>
      <w:r w:rsidRPr="004C7EA0">
        <w:rPr>
          <w:rFonts w:ascii="Times New Roman" w:hAnsi="Times New Roman" w:cs="Times New Roman"/>
          <w:color w:val="000000" w:themeColor="text1"/>
          <w:sz w:val="28"/>
          <w:szCs w:val="28"/>
        </w:rPr>
        <w:t>.2023).</w:t>
      </w:r>
    </w:p>
    <w:sectPr w:rsidR="005A5221" w:rsidRPr="00F90684" w:rsidSect="00B8332A">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9E4A" w14:textId="77777777" w:rsidR="00DD4152" w:rsidRDefault="00DD4152" w:rsidP="008C2C46">
      <w:pPr>
        <w:spacing w:after="0" w:line="240" w:lineRule="auto"/>
      </w:pPr>
      <w:r>
        <w:separator/>
      </w:r>
    </w:p>
  </w:endnote>
  <w:endnote w:type="continuationSeparator" w:id="0">
    <w:p w14:paraId="1A08BC5A" w14:textId="77777777" w:rsidR="00DD4152" w:rsidRDefault="00DD4152" w:rsidP="008C2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21A1" w14:textId="77777777" w:rsidR="00DD4152" w:rsidRDefault="00DD4152" w:rsidP="008C2C46">
      <w:pPr>
        <w:spacing w:after="0" w:line="240" w:lineRule="auto"/>
      </w:pPr>
      <w:r>
        <w:separator/>
      </w:r>
    </w:p>
  </w:footnote>
  <w:footnote w:type="continuationSeparator" w:id="0">
    <w:p w14:paraId="48CAABDE" w14:textId="77777777" w:rsidR="00DD4152" w:rsidRDefault="00DD4152" w:rsidP="008C2C46">
      <w:pPr>
        <w:spacing w:after="0" w:line="240" w:lineRule="auto"/>
      </w:pPr>
      <w:r>
        <w:continuationSeparator/>
      </w:r>
    </w:p>
  </w:footnote>
  <w:footnote w:id="1">
    <w:p w14:paraId="5E036EE6" w14:textId="77777777" w:rsidR="00B8332A" w:rsidRPr="00993AA3" w:rsidRDefault="00B8332A" w:rsidP="00834AB1">
      <w:pPr>
        <w:pStyle w:val="FootnoteText"/>
        <w:jc w:val="both"/>
        <w:rPr>
          <w:rFonts w:ascii="Times New Roman" w:hAnsi="Times New Roman" w:cs="Times New Roman"/>
          <w:color w:val="000000" w:themeColor="text1"/>
          <w:lang w:val="en-US"/>
        </w:rPr>
      </w:pPr>
      <w:r w:rsidRPr="005A5221">
        <w:rPr>
          <w:rStyle w:val="FootnoteReference"/>
          <w:rFonts w:ascii="Times New Roman" w:hAnsi="Times New Roman" w:cs="Times New Roman"/>
        </w:rPr>
        <w:footnoteRef/>
      </w:r>
      <w:proofErr w:type="spellStart"/>
      <w:r w:rsidR="005A5221" w:rsidRPr="005A5221">
        <w:rPr>
          <w:rFonts w:ascii="Times New Roman" w:hAnsi="Times New Roman" w:cs="Times New Roman"/>
          <w:color w:val="000000" w:themeColor="text1"/>
          <w:shd w:val="clear" w:color="auto" w:fill="FFFFFF"/>
          <w:lang w:val="en-US"/>
        </w:rPr>
        <w:t>Amel</w:t>
      </w:r>
      <w:proofErr w:type="spellEnd"/>
      <w:r w:rsidR="005A5221" w:rsidRPr="005A5221">
        <w:rPr>
          <w:rFonts w:ascii="Times New Roman" w:hAnsi="Times New Roman" w:cs="Times New Roman"/>
          <w:color w:val="000000" w:themeColor="text1"/>
          <w:shd w:val="clear" w:color="auto" w:fill="FFFFFF"/>
          <w:lang w:val="en-US"/>
        </w:rPr>
        <w:t xml:space="preserve">-Zadeh, Amir and </w:t>
      </w:r>
      <w:proofErr w:type="spellStart"/>
      <w:r w:rsidR="005A5221" w:rsidRPr="005A5221">
        <w:rPr>
          <w:rFonts w:ascii="Times New Roman" w:hAnsi="Times New Roman" w:cs="Times New Roman"/>
          <w:color w:val="000000" w:themeColor="text1"/>
          <w:shd w:val="clear" w:color="auto" w:fill="FFFFFF"/>
          <w:lang w:val="en-US"/>
        </w:rPr>
        <w:t>Serafeim</w:t>
      </w:r>
      <w:proofErr w:type="spellEnd"/>
      <w:r w:rsidR="005A5221" w:rsidRPr="005A5221">
        <w:rPr>
          <w:rFonts w:ascii="Times New Roman" w:hAnsi="Times New Roman" w:cs="Times New Roman"/>
          <w:color w:val="000000" w:themeColor="text1"/>
          <w:shd w:val="clear" w:color="auto" w:fill="FFFFFF"/>
          <w:lang w:val="en-US"/>
        </w:rPr>
        <w:t>, George, Why and How Investors Use ESG Information: Evidence from a Global Survey (July 1, 2017). Financial Analysts Journal, 2018, Volume 74 Issue 3, pp. 87-103.</w:t>
      </w:r>
    </w:p>
  </w:footnote>
  <w:footnote w:id="2">
    <w:p w14:paraId="44C24E23" w14:textId="77777777" w:rsidR="00B8332A" w:rsidRPr="00993AA3" w:rsidRDefault="00B8332A" w:rsidP="00834AB1">
      <w:pPr>
        <w:pStyle w:val="FootnoteText"/>
        <w:jc w:val="both"/>
        <w:rPr>
          <w:rFonts w:ascii="Times New Roman" w:hAnsi="Times New Roman" w:cs="Times New Roman"/>
          <w:color w:val="000000" w:themeColor="text1"/>
          <w:lang w:val="en-US"/>
        </w:rPr>
      </w:pPr>
      <w:r w:rsidRPr="005A5221">
        <w:rPr>
          <w:rStyle w:val="FootnoteReference"/>
          <w:rFonts w:ascii="Times New Roman" w:hAnsi="Times New Roman" w:cs="Times New Roman"/>
        </w:rPr>
        <w:footnoteRef/>
      </w:r>
      <w:proofErr w:type="spellStart"/>
      <w:r w:rsidR="005A5221" w:rsidRPr="005A5221">
        <w:rPr>
          <w:rFonts w:ascii="Times New Roman" w:hAnsi="Times New Roman" w:cs="Times New Roman"/>
          <w:color w:val="000000" w:themeColor="text1"/>
          <w:shd w:val="clear" w:color="auto" w:fill="FFFFFF"/>
          <w:lang w:val="en-US"/>
        </w:rPr>
        <w:t>Larcker</w:t>
      </w:r>
      <w:proofErr w:type="spellEnd"/>
      <w:r w:rsidR="005A5221" w:rsidRPr="005A5221">
        <w:rPr>
          <w:rFonts w:ascii="Times New Roman" w:hAnsi="Times New Roman" w:cs="Times New Roman"/>
          <w:color w:val="000000" w:themeColor="text1"/>
          <w:shd w:val="clear" w:color="auto" w:fill="FFFFFF"/>
          <w:lang w:val="en-US"/>
        </w:rPr>
        <w:t xml:space="preserve">, David F. and </w:t>
      </w:r>
      <w:proofErr w:type="spellStart"/>
      <w:r w:rsidR="005A5221" w:rsidRPr="005A5221">
        <w:rPr>
          <w:rFonts w:ascii="Times New Roman" w:hAnsi="Times New Roman" w:cs="Times New Roman"/>
          <w:color w:val="000000" w:themeColor="text1"/>
          <w:shd w:val="clear" w:color="auto" w:fill="FFFFFF"/>
          <w:lang w:val="en-US"/>
        </w:rPr>
        <w:t>Pomorski</w:t>
      </w:r>
      <w:proofErr w:type="spellEnd"/>
      <w:r w:rsidR="005A5221" w:rsidRPr="005A5221">
        <w:rPr>
          <w:rFonts w:ascii="Times New Roman" w:hAnsi="Times New Roman" w:cs="Times New Roman"/>
          <w:color w:val="000000" w:themeColor="text1"/>
          <w:shd w:val="clear" w:color="auto" w:fill="FFFFFF"/>
          <w:lang w:val="en-US"/>
        </w:rPr>
        <w:t xml:space="preserve">, Lukasz and </w:t>
      </w:r>
      <w:proofErr w:type="spellStart"/>
      <w:r w:rsidR="005A5221" w:rsidRPr="005A5221">
        <w:rPr>
          <w:rFonts w:ascii="Times New Roman" w:hAnsi="Times New Roman" w:cs="Times New Roman"/>
          <w:color w:val="000000" w:themeColor="text1"/>
          <w:shd w:val="clear" w:color="auto" w:fill="FFFFFF"/>
          <w:lang w:val="en-US"/>
        </w:rPr>
        <w:t>Tayan</w:t>
      </w:r>
      <w:proofErr w:type="spellEnd"/>
      <w:r w:rsidR="005A5221" w:rsidRPr="005A5221">
        <w:rPr>
          <w:rFonts w:ascii="Times New Roman" w:hAnsi="Times New Roman" w:cs="Times New Roman"/>
          <w:color w:val="000000" w:themeColor="text1"/>
          <w:shd w:val="clear" w:color="auto" w:fill="FFFFFF"/>
          <w:lang w:val="en-US"/>
        </w:rPr>
        <w:t xml:space="preserve">, Brian and Watts, Edward. ESG Ratings: A Compass without Direction // Rock Center for Corporate Governance at Stanford University Working Paper Forthcoming. </w:t>
      </w:r>
      <w:r w:rsidR="005A5221" w:rsidRPr="00993AA3">
        <w:rPr>
          <w:rFonts w:ascii="Times New Roman" w:hAnsi="Times New Roman" w:cs="Times New Roman"/>
          <w:color w:val="000000" w:themeColor="text1"/>
          <w:shd w:val="clear" w:color="auto" w:fill="FFFFFF"/>
          <w:lang w:val="en-US"/>
        </w:rPr>
        <w:t xml:space="preserve">2022. </w:t>
      </w:r>
      <w:r w:rsidR="005A5221" w:rsidRPr="005A5221">
        <w:rPr>
          <w:rFonts w:ascii="Times New Roman" w:hAnsi="Times New Roman" w:cs="Times New Roman"/>
          <w:color w:val="000000" w:themeColor="text1"/>
          <w:shd w:val="clear" w:color="auto" w:fill="FFFFFF"/>
          <w:lang w:val="en-US"/>
        </w:rPr>
        <w:t>URL</w:t>
      </w:r>
      <w:r w:rsidR="005A5221" w:rsidRPr="00993AA3">
        <w:rPr>
          <w:rFonts w:ascii="Times New Roman" w:hAnsi="Times New Roman" w:cs="Times New Roman"/>
          <w:color w:val="000000" w:themeColor="text1"/>
          <w:shd w:val="clear" w:color="auto" w:fill="FFFFFF"/>
          <w:lang w:val="en-US"/>
        </w:rPr>
        <w:t xml:space="preserve">: </w:t>
      </w:r>
      <w:r w:rsidR="00DD4152">
        <w:fldChar w:fldCharType="begin"/>
      </w:r>
      <w:r w:rsidR="00DD4152" w:rsidRPr="00993AA3">
        <w:rPr>
          <w:lang w:val="en-US"/>
        </w:rPr>
        <w:instrText xml:space="preserve"> HYPERLINK "https://papers.ssrn.com/sol3/papers.cfm?abstract_id=4179647\\" </w:instrText>
      </w:r>
      <w:r w:rsidR="00DD4152">
        <w:fldChar w:fldCharType="separate"/>
      </w:r>
      <w:r w:rsidR="005A5221" w:rsidRPr="005A5221">
        <w:rPr>
          <w:rStyle w:val="Hyperlink"/>
          <w:rFonts w:ascii="Times New Roman" w:hAnsi="Times New Roman" w:cs="Times New Roman"/>
          <w:color w:val="000000" w:themeColor="text1"/>
          <w:lang w:val="en-US"/>
        </w:rPr>
        <w:t>https</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papers</w:t>
      </w:r>
      <w:r w:rsidR="005A5221" w:rsidRPr="00993AA3">
        <w:rPr>
          <w:rStyle w:val="Hyperlink"/>
          <w:rFonts w:ascii="Times New Roman" w:hAnsi="Times New Roman" w:cs="Times New Roman"/>
          <w:color w:val="000000" w:themeColor="text1"/>
          <w:lang w:val="en-US"/>
        </w:rPr>
        <w:t>.</w:t>
      </w:r>
      <w:proofErr w:type="spellStart"/>
      <w:r w:rsidR="005A5221" w:rsidRPr="005A5221">
        <w:rPr>
          <w:rStyle w:val="Hyperlink"/>
          <w:rFonts w:ascii="Times New Roman" w:hAnsi="Times New Roman" w:cs="Times New Roman"/>
          <w:color w:val="000000" w:themeColor="text1"/>
          <w:lang w:val="en-US"/>
        </w:rPr>
        <w:t>ssrn</w:t>
      </w:r>
      <w:proofErr w:type="spellEnd"/>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com</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sol</w:t>
      </w:r>
      <w:r w:rsidR="005A5221" w:rsidRPr="00993AA3">
        <w:rPr>
          <w:rStyle w:val="Hyperlink"/>
          <w:rFonts w:ascii="Times New Roman" w:hAnsi="Times New Roman" w:cs="Times New Roman"/>
          <w:color w:val="000000" w:themeColor="text1"/>
          <w:lang w:val="en-US"/>
        </w:rPr>
        <w:t>3/</w:t>
      </w:r>
      <w:r w:rsidR="005A5221" w:rsidRPr="005A5221">
        <w:rPr>
          <w:rStyle w:val="Hyperlink"/>
          <w:rFonts w:ascii="Times New Roman" w:hAnsi="Times New Roman" w:cs="Times New Roman"/>
          <w:color w:val="000000" w:themeColor="text1"/>
          <w:lang w:val="en-US"/>
        </w:rPr>
        <w:t>papers</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cfm</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abstract</w:t>
      </w:r>
      <w:r w:rsidR="005A5221" w:rsidRPr="00993AA3">
        <w:rPr>
          <w:rStyle w:val="Hyperlink"/>
          <w:rFonts w:ascii="Times New Roman" w:hAnsi="Times New Roman" w:cs="Times New Roman"/>
          <w:color w:val="000000" w:themeColor="text1"/>
          <w:lang w:val="en-US"/>
        </w:rPr>
        <w:t>_</w:t>
      </w:r>
      <w:r w:rsidR="005A5221" w:rsidRPr="005A5221">
        <w:rPr>
          <w:rStyle w:val="Hyperlink"/>
          <w:rFonts w:ascii="Times New Roman" w:hAnsi="Times New Roman" w:cs="Times New Roman"/>
          <w:color w:val="000000" w:themeColor="text1"/>
          <w:lang w:val="en-US"/>
        </w:rPr>
        <w:t>id</w:t>
      </w:r>
      <w:r w:rsidR="005A5221" w:rsidRPr="00993AA3">
        <w:rPr>
          <w:rStyle w:val="Hyperlink"/>
          <w:rFonts w:ascii="Times New Roman" w:hAnsi="Times New Roman" w:cs="Times New Roman"/>
          <w:color w:val="000000" w:themeColor="text1"/>
          <w:lang w:val="en-US"/>
        </w:rPr>
        <w:t>=4179647\</w:t>
      </w:r>
      <w:r w:rsidR="00DD4152">
        <w:rPr>
          <w:rStyle w:val="Hyperlink"/>
          <w:rFonts w:ascii="Times New Roman" w:hAnsi="Times New Roman" w:cs="Times New Roman"/>
          <w:color w:val="000000" w:themeColor="text1"/>
        </w:rPr>
        <w:fldChar w:fldCharType="end"/>
      </w:r>
    </w:p>
  </w:footnote>
  <w:footnote w:id="3">
    <w:p w14:paraId="6D3C73B9" w14:textId="77777777" w:rsidR="00B8332A" w:rsidRPr="00993AA3" w:rsidRDefault="00B8332A" w:rsidP="00834AB1">
      <w:pPr>
        <w:pStyle w:val="FootnoteText"/>
        <w:jc w:val="both"/>
        <w:rPr>
          <w:rFonts w:ascii="Times New Roman" w:hAnsi="Times New Roman" w:cs="Times New Roman"/>
          <w:color w:val="000000" w:themeColor="text1"/>
          <w:lang w:val="en-US"/>
        </w:rPr>
      </w:pPr>
      <w:r w:rsidRPr="005A5221">
        <w:rPr>
          <w:rStyle w:val="FootnoteReference"/>
          <w:rFonts w:ascii="Times New Roman" w:hAnsi="Times New Roman" w:cs="Times New Roman"/>
        </w:rPr>
        <w:footnoteRef/>
      </w:r>
      <w:r w:rsidRPr="005A5221">
        <w:rPr>
          <w:rFonts w:ascii="Times New Roman" w:hAnsi="Times New Roman" w:cs="Times New Roman"/>
          <w:lang w:val="en-US"/>
        </w:rPr>
        <w:t xml:space="preserve"> </w:t>
      </w:r>
      <w:r w:rsidR="005A5221" w:rsidRPr="005A5221">
        <w:rPr>
          <w:rFonts w:ascii="Times New Roman" w:hAnsi="Times New Roman" w:cs="Times New Roman"/>
          <w:color w:val="000000" w:themeColor="text1"/>
          <w:shd w:val="clear" w:color="auto" w:fill="FFFFFF"/>
          <w:lang w:val="en-US"/>
        </w:rPr>
        <w:t xml:space="preserve">Florian Berg, Julian F </w:t>
      </w:r>
      <w:proofErr w:type="spellStart"/>
      <w:r w:rsidR="005A5221" w:rsidRPr="005A5221">
        <w:rPr>
          <w:rFonts w:ascii="Times New Roman" w:hAnsi="Times New Roman" w:cs="Times New Roman"/>
          <w:color w:val="000000" w:themeColor="text1"/>
          <w:shd w:val="clear" w:color="auto" w:fill="FFFFFF"/>
          <w:lang w:val="en-US"/>
        </w:rPr>
        <w:t>Kölbel</w:t>
      </w:r>
      <w:proofErr w:type="spellEnd"/>
      <w:r w:rsidR="005A5221" w:rsidRPr="005A5221">
        <w:rPr>
          <w:rFonts w:ascii="Times New Roman" w:hAnsi="Times New Roman" w:cs="Times New Roman"/>
          <w:color w:val="000000" w:themeColor="text1"/>
          <w:shd w:val="clear" w:color="auto" w:fill="FFFFFF"/>
          <w:lang w:val="en-US"/>
        </w:rPr>
        <w:t xml:space="preserve">, Roberto </w:t>
      </w:r>
      <w:proofErr w:type="spellStart"/>
      <w:r w:rsidR="005A5221" w:rsidRPr="005A5221">
        <w:rPr>
          <w:rFonts w:ascii="Times New Roman" w:hAnsi="Times New Roman" w:cs="Times New Roman"/>
          <w:color w:val="000000" w:themeColor="text1"/>
          <w:shd w:val="clear" w:color="auto" w:fill="FFFFFF"/>
          <w:lang w:val="en-US"/>
        </w:rPr>
        <w:t>Rigobon</w:t>
      </w:r>
      <w:proofErr w:type="spellEnd"/>
      <w:r w:rsidR="005A5221" w:rsidRPr="005A5221">
        <w:rPr>
          <w:rFonts w:ascii="Times New Roman" w:hAnsi="Times New Roman" w:cs="Times New Roman"/>
          <w:color w:val="000000" w:themeColor="text1"/>
          <w:shd w:val="clear" w:color="auto" w:fill="FFFFFF"/>
          <w:lang w:val="en-US"/>
        </w:rPr>
        <w:t>, Aggregate Confusion: The Divergence of ESG Ratings. </w:t>
      </w:r>
      <w:r w:rsidR="005A5221" w:rsidRPr="005A5221">
        <w:rPr>
          <w:rStyle w:val="Emphasis"/>
          <w:rFonts w:ascii="Times New Roman" w:hAnsi="Times New Roman" w:cs="Times New Roman"/>
          <w:color w:val="000000" w:themeColor="text1"/>
          <w:bdr w:val="none" w:sz="0" w:space="0" w:color="auto" w:frame="1"/>
          <w:shd w:val="clear" w:color="auto" w:fill="FFFFFF"/>
          <w:lang w:val="en-US"/>
        </w:rPr>
        <w:t>Review of Finance</w:t>
      </w:r>
      <w:r w:rsidR="005A5221" w:rsidRPr="005A5221">
        <w:rPr>
          <w:rFonts w:ascii="Times New Roman" w:hAnsi="Times New Roman" w:cs="Times New Roman"/>
          <w:color w:val="000000" w:themeColor="text1"/>
          <w:shd w:val="clear" w:color="auto" w:fill="FFFFFF"/>
          <w:lang w:val="en-US"/>
        </w:rPr>
        <w:t>, 2022, Volume 26, Issue 6, pp. 1315–1344.</w:t>
      </w:r>
    </w:p>
  </w:footnote>
  <w:footnote w:id="4">
    <w:p w14:paraId="43306656" w14:textId="77777777" w:rsidR="00B8332A" w:rsidRPr="00993AA3" w:rsidRDefault="00B8332A" w:rsidP="00834AB1">
      <w:pPr>
        <w:pStyle w:val="FootnoteText"/>
        <w:jc w:val="both"/>
        <w:rPr>
          <w:rFonts w:ascii="Times New Roman" w:hAnsi="Times New Roman" w:cs="Times New Roman"/>
          <w:color w:val="000000" w:themeColor="text1"/>
          <w:lang w:val="en-US"/>
        </w:rPr>
      </w:pPr>
      <w:r w:rsidRPr="005A5221">
        <w:rPr>
          <w:rStyle w:val="FootnoteReference"/>
          <w:rFonts w:ascii="Times New Roman" w:hAnsi="Times New Roman" w:cs="Times New Roman"/>
        </w:rPr>
        <w:footnoteRef/>
      </w:r>
      <w:r w:rsidR="005A5221" w:rsidRPr="005A5221">
        <w:rPr>
          <w:rFonts w:ascii="Times New Roman" w:hAnsi="Times New Roman" w:cs="Times New Roman"/>
          <w:bCs/>
          <w:color w:val="000000" w:themeColor="text1"/>
          <w:shd w:val="clear" w:color="auto" w:fill="FFFFFF"/>
          <w:lang w:val="en-US"/>
        </w:rPr>
        <w:t xml:space="preserve">OECD. Policy guidance on </w:t>
      </w:r>
      <w:proofErr w:type="gramStart"/>
      <w:r w:rsidR="005A5221" w:rsidRPr="005A5221">
        <w:rPr>
          <w:rFonts w:ascii="Times New Roman" w:hAnsi="Times New Roman" w:cs="Times New Roman"/>
          <w:bCs/>
          <w:color w:val="000000" w:themeColor="text1"/>
          <w:shd w:val="clear" w:color="auto" w:fill="FFFFFF"/>
          <w:lang w:val="en-US"/>
        </w:rPr>
        <w:t>market  practices</w:t>
      </w:r>
      <w:proofErr w:type="gramEnd"/>
      <w:r w:rsidR="005A5221" w:rsidRPr="005A5221">
        <w:rPr>
          <w:rFonts w:ascii="Times New Roman" w:hAnsi="Times New Roman" w:cs="Times New Roman"/>
          <w:bCs/>
          <w:color w:val="000000" w:themeColor="text1"/>
          <w:shd w:val="clear" w:color="auto" w:fill="FFFFFF"/>
          <w:lang w:val="en-US"/>
        </w:rPr>
        <w:t xml:space="preserve"> to strengthen ESG  investing and finance a climate transition // OECD. 2022. URL</w:t>
      </w:r>
      <w:r w:rsidR="005A5221" w:rsidRPr="00993AA3">
        <w:rPr>
          <w:rFonts w:ascii="Times New Roman" w:hAnsi="Times New Roman" w:cs="Times New Roman"/>
          <w:bCs/>
          <w:color w:val="000000" w:themeColor="text1"/>
          <w:shd w:val="clear" w:color="auto" w:fill="FFFFFF"/>
          <w:lang w:val="en-US"/>
        </w:rPr>
        <w:t xml:space="preserve">: </w:t>
      </w:r>
      <w:r w:rsidR="00DD4152">
        <w:fldChar w:fldCharType="begin"/>
      </w:r>
      <w:r w:rsidR="00DD4152" w:rsidRPr="00993AA3">
        <w:rPr>
          <w:lang w:val="en-US"/>
        </w:rPr>
        <w:instrText xml:space="preserve"> HYPERLINK "https://www.oecd-ilibrary.org/docserver/2c5b535c-en.pdf?expires=1678203099&amp;id=id&amp;accname=guest&amp;checksum=FDF8121F8B32F7B1F2DF0EC32E4A4E4C" </w:instrText>
      </w:r>
      <w:r w:rsidR="00DD4152">
        <w:fldChar w:fldCharType="separate"/>
      </w:r>
      <w:r w:rsidR="005A5221" w:rsidRPr="005A5221">
        <w:rPr>
          <w:rStyle w:val="Hyperlink"/>
          <w:rFonts w:ascii="Times New Roman" w:hAnsi="Times New Roman" w:cs="Times New Roman"/>
          <w:color w:val="000000" w:themeColor="text1"/>
          <w:lang w:val="en-US"/>
        </w:rPr>
        <w:t>https</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www</w:t>
      </w:r>
      <w:r w:rsidR="005A5221" w:rsidRPr="00993AA3">
        <w:rPr>
          <w:rStyle w:val="Hyperlink"/>
          <w:rFonts w:ascii="Times New Roman" w:hAnsi="Times New Roman" w:cs="Times New Roman"/>
          <w:color w:val="000000" w:themeColor="text1"/>
          <w:lang w:val="en-US"/>
        </w:rPr>
        <w:t>.</w:t>
      </w:r>
      <w:proofErr w:type="spellStart"/>
      <w:r w:rsidR="005A5221" w:rsidRPr="005A5221">
        <w:rPr>
          <w:rStyle w:val="Hyperlink"/>
          <w:rFonts w:ascii="Times New Roman" w:hAnsi="Times New Roman" w:cs="Times New Roman"/>
          <w:color w:val="000000" w:themeColor="text1"/>
          <w:lang w:val="en-US"/>
        </w:rPr>
        <w:t>oecd</w:t>
      </w:r>
      <w:proofErr w:type="spellEnd"/>
      <w:r w:rsidR="005A5221" w:rsidRPr="00993AA3">
        <w:rPr>
          <w:rStyle w:val="Hyperlink"/>
          <w:rFonts w:ascii="Times New Roman" w:hAnsi="Times New Roman" w:cs="Times New Roman"/>
          <w:color w:val="000000" w:themeColor="text1"/>
          <w:lang w:val="en-US"/>
        </w:rPr>
        <w:t>-</w:t>
      </w:r>
      <w:proofErr w:type="spellStart"/>
      <w:r w:rsidR="005A5221" w:rsidRPr="005A5221">
        <w:rPr>
          <w:rStyle w:val="Hyperlink"/>
          <w:rFonts w:ascii="Times New Roman" w:hAnsi="Times New Roman" w:cs="Times New Roman"/>
          <w:color w:val="000000" w:themeColor="text1"/>
          <w:lang w:val="en-US"/>
        </w:rPr>
        <w:t>ilibrary</w:t>
      </w:r>
      <w:proofErr w:type="spellEnd"/>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org</w:t>
      </w:r>
      <w:r w:rsidR="005A5221" w:rsidRPr="00993AA3">
        <w:rPr>
          <w:rStyle w:val="Hyperlink"/>
          <w:rFonts w:ascii="Times New Roman" w:hAnsi="Times New Roman" w:cs="Times New Roman"/>
          <w:color w:val="000000" w:themeColor="text1"/>
          <w:lang w:val="en-US"/>
        </w:rPr>
        <w:t>/</w:t>
      </w:r>
      <w:proofErr w:type="spellStart"/>
      <w:r w:rsidR="005A5221" w:rsidRPr="005A5221">
        <w:rPr>
          <w:rStyle w:val="Hyperlink"/>
          <w:rFonts w:ascii="Times New Roman" w:hAnsi="Times New Roman" w:cs="Times New Roman"/>
          <w:color w:val="000000" w:themeColor="text1"/>
          <w:lang w:val="en-US"/>
        </w:rPr>
        <w:t>docserver</w:t>
      </w:r>
      <w:proofErr w:type="spellEnd"/>
      <w:r w:rsidR="005A5221" w:rsidRPr="00993AA3">
        <w:rPr>
          <w:rStyle w:val="Hyperlink"/>
          <w:rFonts w:ascii="Times New Roman" w:hAnsi="Times New Roman" w:cs="Times New Roman"/>
          <w:color w:val="000000" w:themeColor="text1"/>
          <w:lang w:val="en-US"/>
        </w:rPr>
        <w:t>/2</w:t>
      </w:r>
      <w:r w:rsidR="005A5221" w:rsidRPr="005A5221">
        <w:rPr>
          <w:rStyle w:val="Hyperlink"/>
          <w:rFonts w:ascii="Times New Roman" w:hAnsi="Times New Roman" w:cs="Times New Roman"/>
          <w:color w:val="000000" w:themeColor="text1"/>
          <w:lang w:val="en-US"/>
        </w:rPr>
        <w:t>c</w:t>
      </w:r>
      <w:r w:rsidR="005A5221" w:rsidRPr="00993AA3">
        <w:rPr>
          <w:rStyle w:val="Hyperlink"/>
          <w:rFonts w:ascii="Times New Roman" w:hAnsi="Times New Roman" w:cs="Times New Roman"/>
          <w:color w:val="000000" w:themeColor="text1"/>
          <w:lang w:val="en-US"/>
        </w:rPr>
        <w:t>5</w:t>
      </w:r>
      <w:r w:rsidR="005A5221" w:rsidRPr="005A5221">
        <w:rPr>
          <w:rStyle w:val="Hyperlink"/>
          <w:rFonts w:ascii="Times New Roman" w:hAnsi="Times New Roman" w:cs="Times New Roman"/>
          <w:color w:val="000000" w:themeColor="text1"/>
          <w:lang w:val="en-US"/>
        </w:rPr>
        <w:t>b</w:t>
      </w:r>
      <w:r w:rsidR="005A5221" w:rsidRPr="00993AA3">
        <w:rPr>
          <w:rStyle w:val="Hyperlink"/>
          <w:rFonts w:ascii="Times New Roman" w:hAnsi="Times New Roman" w:cs="Times New Roman"/>
          <w:color w:val="000000" w:themeColor="text1"/>
          <w:lang w:val="en-US"/>
        </w:rPr>
        <w:t>535</w:t>
      </w:r>
      <w:r w:rsidR="005A5221" w:rsidRPr="005A5221">
        <w:rPr>
          <w:rStyle w:val="Hyperlink"/>
          <w:rFonts w:ascii="Times New Roman" w:hAnsi="Times New Roman" w:cs="Times New Roman"/>
          <w:color w:val="000000" w:themeColor="text1"/>
          <w:lang w:val="en-US"/>
        </w:rPr>
        <w:t>c</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en</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pdf</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expires</w:t>
      </w:r>
      <w:r w:rsidR="005A5221" w:rsidRPr="00993AA3">
        <w:rPr>
          <w:rStyle w:val="Hyperlink"/>
          <w:rFonts w:ascii="Times New Roman" w:hAnsi="Times New Roman" w:cs="Times New Roman"/>
          <w:color w:val="000000" w:themeColor="text1"/>
          <w:lang w:val="en-US"/>
        </w:rPr>
        <w:t>=1678203099&amp;</w:t>
      </w:r>
      <w:r w:rsidR="005A5221" w:rsidRPr="005A5221">
        <w:rPr>
          <w:rStyle w:val="Hyperlink"/>
          <w:rFonts w:ascii="Times New Roman" w:hAnsi="Times New Roman" w:cs="Times New Roman"/>
          <w:color w:val="000000" w:themeColor="text1"/>
          <w:lang w:val="en-US"/>
        </w:rPr>
        <w:t>id</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id</w:t>
      </w:r>
      <w:r w:rsidR="005A5221" w:rsidRPr="00993AA3">
        <w:rPr>
          <w:rStyle w:val="Hyperlink"/>
          <w:rFonts w:ascii="Times New Roman" w:hAnsi="Times New Roman" w:cs="Times New Roman"/>
          <w:color w:val="000000" w:themeColor="text1"/>
          <w:lang w:val="en-US"/>
        </w:rPr>
        <w:t>&amp;</w:t>
      </w:r>
      <w:proofErr w:type="spellStart"/>
      <w:r w:rsidR="005A5221" w:rsidRPr="005A5221">
        <w:rPr>
          <w:rStyle w:val="Hyperlink"/>
          <w:rFonts w:ascii="Times New Roman" w:hAnsi="Times New Roman" w:cs="Times New Roman"/>
          <w:color w:val="000000" w:themeColor="text1"/>
          <w:lang w:val="en-US"/>
        </w:rPr>
        <w:t>accname</w:t>
      </w:r>
      <w:proofErr w:type="spellEnd"/>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guest</w:t>
      </w:r>
      <w:r w:rsidR="005A5221" w:rsidRPr="00993AA3">
        <w:rPr>
          <w:rStyle w:val="Hyperlink"/>
          <w:rFonts w:ascii="Times New Roman" w:hAnsi="Times New Roman" w:cs="Times New Roman"/>
          <w:color w:val="000000" w:themeColor="text1"/>
          <w:lang w:val="en-US"/>
        </w:rPr>
        <w:t>&amp;</w:t>
      </w:r>
      <w:r w:rsidR="005A5221" w:rsidRPr="005A5221">
        <w:rPr>
          <w:rStyle w:val="Hyperlink"/>
          <w:rFonts w:ascii="Times New Roman" w:hAnsi="Times New Roman" w:cs="Times New Roman"/>
          <w:color w:val="000000" w:themeColor="text1"/>
          <w:lang w:val="en-US"/>
        </w:rPr>
        <w:t>checksum</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FDF</w:t>
      </w:r>
      <w:r w:rsidR="005A5221" w:rsidRPr="00993AA3">
        <w:rPr>
          <w:rStyle w:val="Hyperlink"/>
          <w:rFonts w:ascii="Times New Roman" w:hAnsi="Times New Roman" w:cs="Times New Roman"/>
          <w:color w:val="000000" w:themeColor="text1"/>
          <w:lang w:val="en-US"/>
        </w:rPr>
        <w:t>8121</w:t>
      </w:r>
      <w:r w:rsidR="005A5221" w:rsidRPr="005A5221">
        <w:rPr>
          <w:rStyle w:val="Hyperlink"/>
          <w:rFonts w:ascii="Times New Roman" w:hAnsi="Times New Roman" w:cs="Times New Roman"/>
          <w:color w:val="000000" w:themeColor="text1"/>
          <w:lang w:val="en-US"/>
        </w:rPr>
        <w:t>F</w:t>
      </w:r>
      <w:r w:rsidR="005A5221" w:rsidRPr="00993AA3">
        <w:rPr>
          <w:rStyle w:val="Hyperlink"/>
          <w:rFonts w:ascii="Times New Roman" w:hAnsi="Times New Roman" w:cs="Times New Roman"/>
          <w:color w:val="000000" w:themeColor="text1"/>
          <w:lang w:val="en-US"/>
        </w:rPr>
        <w:t>8</w:t>
      </w:r>
      <w:r w:rsidR="005A5221" w:rsidRPr="005A5221">
        <w:rPr>
          <w:rStyle w:val="Hyperlink"/>
          <w:rFonts w:ascii="Times New Roman" w:hAnsi="Times New Roman" w:cs="Times New Roman"/>
          <w:color w:val="000000" w:themeColor="text1"/>
          <w:lang w:val="en-US"/>
        </w:rPr>
        <w:t>B</w:t>
      </w:r>
      <w:r w:rsidR="005A5221" w:rsidRPr="00993AA3">
        <w:rPr>
          <w:rStyle w:val="Hyperlink"/>
          <w:rFonts w:ascii="Times New Roman" w:hAnsi="Times New Roman" w:cs="Times New Roman"/>
          <w:color w:val="000000" w:themeColor="text1"/>
          <w:lang w:val="en-US"/>
        </w:rPr>
        <w:t>32</w:t>
      </w:r>
      <w:r w:rsidR="005A5221" w:rsidRPr="005A5221">
        <w:rPr>
          <w:rStyle w:val="Hyperlink"/>
          <w:rFonts w:ascii="Times New Roman" w:hAnsi="Times New Roman" w:cs="Times New Roman"/>
          <w:color w:val="000000" w:themeColor="text1"/>
          <w:lang w:val="en-US"/>
        </w:rPr>
        <w:t>F</w:t>
      </w:r>
      <w:r w:rsidR="005A5221" w:rsidRPr="00993AA3">
        <w:rPr>
          <w:rStyle w:val="Hyperlink"/>
          <w:rFonts w:ascii="Times New Roman" w:hAnsi="Times New Roman" w:cs="Times New Roman"/>
          <w:color w:val="000000" w:themeColor="text1"/>
          <w:lang w:val="en-US"/>
        </w:rPr>
        <w:t>7</w:t>
      </w:r>
      <w:r w:rsidR="005A5221" w:rsidRPr="005A5221">
        <w:rPr>
          <w:rStyle w:val="Hyperlink"/>
          <w:rFonts w:ascii="Times New Roman" w:hAnsi="Times New Roman" w:cs="Times New Roman"/>
          <w:color w:val="000000" w:themeColor="text1"/>
          <w:lang w:val="en-US"/>
        </w:rPr>
        <w:t>B</w:t>
      </w:r>
      <w:r w:rsidR="005A5221" w:rsidRPr="00993AA3">
        <w:rPr>
          <w:rStyle w:val="Hyperlink"/>
          <w:rFonts w:ascii="Times New Roman" w:hAnsi="Times New Roman" w:cs="Times New Roman"/>
          <w:color w:val="000000" w:themeColor="text1"/>
          <w:lang w:val="en-US"/>
        </w:rPr>
        <w:t>1</w:t>
      </w:r>
      <w:r w:rsidR="005A5221" w:rsidRPr="005A5221">
        <w:rPr>
          <w:rStyle w:val="Hyperlink"/>
          <w:rFonts w:ascii="Times New Roman" w:hAnsi="Times New Roman" w:cs="Times New Roman"/>
          <w:color w:val="000000" w:themeColor="text1"/>
          <w:lang w:val="en-US"/>
        </w:rPr>
        <w:t>F</w:t>
      </w:r>
      <w:r w:rsidR="005A5221" w:rsidRPr="00993AA3">
        <w:rPr>
          <w:rStyle w:val="Hyperlink"/>
          <w:rFonts w:ascii="Times New Roman" w:hAnsi="Times New Roman" w:cs="Times New Roman"/>
          <w:color w:val="000000" w:themeColor="text1"/>
          <w:lang w:val="en-US"/>
        </w:rPr>
        <w:t>2</w:t>
      </w:r>
      <w:r w:rsidR="005A5221" w:rsidRPr="005A5221">
        <w:rPr>
          <w:rStyle w:val="Hyperlink"/>
          <w:rFonts w:ascii="Times New Roman" w:hAnsi="Times New Roman" w:cs="Times New Roman"/>
          <w:color w:val="000000" w:themeColor="text1"/>
          <w:lang w:val="en-US"/>
        </w:rPr>
        <w:t>DF</w:t>
      </w:r>
      <w:r w:rsidR="005A5221" w:rsidRPr="00993AA3">
        <w:rPr>
          <w:rStyle w:val="Hyperlink"/>
          <w:rFonts w:ascii="Times New Roman" w:hAnsi="Times New Roman" w:cs="Times New Roman"/>
          <w:color w:val="000000" w:themeColor="text1"/>
          <w:lang w:val="en-US"/>
        </w:rPr>
        <w:t>0</w:t>
      </w:r>
      <w:r w:rsidR="005A5221" w:rsidRPr="005A5221">
        <w:rPr>
          <w:rStyle w:val="Hyperlink"/>
          <w:rFonts w:ascii="Times New Roman" w:hAnsi="Times New Roman" w:cs="Times New Roman"/>
          <w:color w:val="000000" w:themeColor="text1"/>
          <w:lang w:val="en-US"/>
        </w:rPr>
        <w:t>EC</w:t>
      </w:r>
      <w:r w:rsidR="005A5221" w:rsidRPr="00993AA3">
        <w:rPr>
          <w:rStyle w:val="Hyperlink"/>
          <w:rFonts w:ascii="Times New Roman" w:hAnsi="Times New Roman" w:cs="Times New Roman"/>
          <w:color w:val="000000" w:themeColor="text1"/>
          <w:lang w:val="en-US"/>
        </w:rPr>
        <w:t>32</w:t>
      </w:r>
      <w:r w:rsidR="005A5221" w:rsidRPr="005A5221">
        <w:rPr>
          <w:rStyle w:val="Hyperlink"/>
          <w:rFonts w:ascii="Times New Roman" w:hAnsi="Times New Roman" w:cs="Times New Roman"/>
          <w:color w:val="000000" w:themeColor="text1"/>
          <w:lang w:val="en-US"/>
        </w:rPr>
        <w:t>E</w:t>
      </w:r>
      <w:r w:rsidR="005A5221" w:rsidRPr="00993AA3">
        <w:rPr>
          <w:rStyle w:val="Hyperlink"/>
          <w:rFonts w:ascii="Times New Roman" w:hAnsi="Times New Roman" w:cs="Times New Roman"/>
          <w:color w:val="000000" w:themeColor="text1"/>
          <w:lang w:val="en-US"/>
        </w:rPr>
        <w:t>4</w:t>
      </w:r>
      <w:r w:rsidR="005A5221" w:rsidRPr="005A5221">
        <w:rPr>
          <w:rStyle w:val="Hyperlink"/>
          <w:rFonts w:ascii="Times New Roman" w:hAnsi="Times New Roman" w:cs="Times New Roman"/>
          <w:color w:val="000000" w:themeColor="text1"/>
          <w:lang w:val="en-US"/>
        </w:rPr>
        <w:t>A</w:t>
      </w:r>
      <w:r w:rsidR="005A5221" w:rsidRPr="00993AA3">
        <w:rPr>
          <w:rStyle w:val="Hyperlink"/>
          <w:rFonts w:ascii="Times New Roman" w:hAnsi="Times New Roman" w:cs="Times New Roman"/>
          <w:color w:val="000000" w:themeColor="text1"/>
          <w:lang w:val="en-US"/>
        </w:rPr>
        <w:t>4</w:t>
      </w:r>
      <w:r w:rsidR="005A5221" w:rsidRPr="005A5221">
        <w:rPr>
          <w:rStyle w:val="Hyperlink"/>
          <w:rFonts w:ascii="Times New Roman" w:hAnsi="Times New Roman" w:cs="Times New Roman"/>
          <w:color w:val="000000" w:themeColor="text1"/>
          <w:lang w:val="en-US"/>
        </w:rPr>
        <w:t>E</w:t>
      </w:r>
      <w:r w:rsidR="005A5221" w:rsidRPr="00993AA3">
        <w:rPr>
          <w:rStyle w:val="Hyperlink"/>
          <w:rFonts w:ascii="Times New Roman" w:hAnsi="Times New Roman" w:cs="Times New Roman"/>
          <w:color w:val="000000" w:themeColor="text1"/>
          <w:lang w:val="en-US"/>
        </w:rPr>
        <w:t>4</w:t>
      </w:r>
      <w:r w:rsidR="005A5221" w:rsidRPr="005A5221">
        <w:rPr>
          <w:rStyle w:val="Hyperlink"/>
          <w:rFonts w:ascii="Times New Roman" w:hAnsi="Times New Roman" w:cs="Times New Roman"/>
          <w:color w:val="000000" w:themeColor="text1"/>
          <w:lang w:val="en-US"/>
        </w:rPr>
        <w:t>C</w:t>
      </w:r>
      <w:r w:rsidR="00DD4152">
        <w:rPr>
          <w:rStyle w:val="Hyperlink"/>
          <w:rFonts w:ascii="Times New Roman" w:hAnsi="Times New Roman" w:cs="Times New Roman"/>
          <w:color w:val="000000" w:themeColor="text1"/>
          <w:lang w:val="en-US"/>
        </w:rPr>
        <w:fldChar w:fldCharType="end"/>
      </w:r>
    </w:p>
  </w:footnote>
  <w:footnote w:id="5">
    <w:p w14:paraId="32D2BAE6" w14:textId="77777777" w:rsidR="00B8332A" w:rsidRPr="00993AA3" w:rsidRDefault="00B8332A" w:rsidP="00834AB1">
      <w:pPr>
        <w:pStyle w:val="FootnoteText"/>
        <w:jc w:val="both"/>
        <w:rPr>
          <w:rFonts w:ascii="Times New Roman" w:hAnsi="Times New Roman" w:cs="Times New Roman"/>
          <w:color w:val="000000" w:themeColor="text1"/>
          <w:lang w:val="en-US"/>
        </w:rPr>
      </w:pPr>
      <w:r w:rsidRPr="005A5221">
        <w:rPr>
          <w:rStyle w:val="FootnoteReference"/>
          <w:rFonts w:ascii="Times New Roman" w:hAnsi="Times New Roman" w:cs="Times New Roman"/>
        </w:rPr>
        <w:footnoteRef/>
      </w:r>
      <w:r w:rsidRPr="005A5221">
        <w:rPr>
          <w:rFonts w:ascii="Times New Roman" w:hAnsi="Times New Roman" w:cs="Times New Roman"/>
          <w:lang w:val="en-US"/>
        </w:rPr>
        <w:t xml:space="preserve"> </w:t>
      </w:r>
      <w:r w:rsidR="005A5221" w:rsidRPr="005A5221">
        <w:rPr>
          <w:rFonts w:ascii="Times New Roman" w:hAnsi="Times New Roman" w:cs="Times New Roman"/>
          <w:color w:val="000000" w:themeColor="text1"/>
          <w:lang w:val="en-US"/>
        </w:rPr>
        <w:t xml:space="preserve">EFAMA. IOSCO´s consultation on ESG ratings and data products providers // EFAMA. 2021. URL: </w:t>
      </w:r>
      <w:r w:rsidR="00DD4152">
        <w:fldChar w:fldCharType="begin"/>
      </w:r>
      <w:r w:rsidR="00DD4152" w:rsidRPr="00993AA3">
        <w:rPr>
          <w:lang w:val="en-US"/>
        </w:rPr>
        <w:instrText xml:space="preserve"> HYPERLINK "https://www.efama.org/newsroom/news/iosco-s-consultation-esg-ratings-and-data-products-providers" </w:instrText>
      </w:r>
      <w:r w:rsidR="00DD4152">
        <w:fldChar w:fldCharType="separate"/>
      </w:r>
      <w:r w:rsidR="005A5221" w:rsidRPr="005A5221">
        <w:rPr>
          <w:rStyle w:val="Hyperlink"/>
          <w:rFonts w:ascii="Times New Roman" w:hAnsi="Times New Roman" w:cs="Times New Roman"/>
          <w:color w:val="000000" w:themeColor="text1"/>
          <w:lang w:val="en-US"/>
        </w:rPr>
        <w:t>IOSCO´s consultation on ESG ratings and data products providers | EFAMA</w:t>
      </w:r>
      <w:r w:rsidR="00DD4152">
        <w:rPr>
          <w:rStyle w:val="Hyperlink"/>
          <w:rFonts w:ascii="Times New Roman" w:hAnsi="Times New Roman" w:cs="Times New Roman"/>
          <w:color w:val="000000" w:themeColor="text1"/>
          <w:lang w:val="en-US"/>
        </w:rPr>
        <w:fldChar w:fldCharType="end"/>
      </w:r>
    </w:p>
  </w:footnote>
  <w:footnote w:id="6">
    <w:p w14:paraId="5958D23C" w14:textId="77777777" w:rsidR="00B8332A" w:rsidRPr="00993AA3" w:rsidRDefault="00B8332A" w:rsidP="00834AB1">
      <w:pPr>
        <w:pStyle w:val="FootnoteText"/>
        <w:jc w:val="both"/>
        <w:rPr>
          <w:rFonts w:ascii="Times New Roman" w:hAnsi="Times New Roman" w:cs="Times New Roman"/>
          <w:color w:val="000000" w:themeColor="text1"/>
          <w:lang w:val="en-US"/>
        </w:rPr>
      </w:pPr>
      <w:r w:rsidRPr="005A5221">
        <w:rPr>
          <w:rStyle w:val="FootnoteReference"/>
          <w:rFonts w:ascii="Times New Roman" w:hAnsi="Times New Roman" w:cs="Times New Roman"/>
        </w:rPr>
        <w:footnoteRef/>
      </w:r>
      <w:r w:rsidR="005A5221" w:rsidRPr="005A5221">
        <w:rPr>
          <w:rFonts w:ascii="Times New Roman" w:hAnsi="Times New Roman" w:cs="Times New Roman"/>
          <w:color w:val="000000" w:themeColor="text1"/>
          <w:lang w:val="en-US"/>
        </w:rPr>
        <w:t>SEBI. Consultation Paper on Environmental, Social and Governance (ESG) Rating Providers for Securities Markets // SEBI. 2022. URL</w:t>
      </w:r>
      <w:r w:rsidR="005A5221" w:rsidRPr="00993AA3">
        <w:rPr>
          <w:rFonts w:ascii="Times New Roman" w:hAnsi="Times New Roman" w:cs="Times New Roman"/>
          <w:color w:val="000000" w:themeColor="text1"/>
          <w:lang w:val="en-US"/>
        </w:rPr>
        <w:t xml:space="preserve">: </w:t>
      </w:r>
      <w:r w:rsidR="00DD4152">
        <w:fldChar w:fldCharType="begin"/>
      </w:r>
      <w:r w:rsidR="00DD4152" w:rsidRPr="00993AA3">
        <w:rPr>
          <w:lang w:val="en-US"/>
        </w:rPr>
        <w:instrText xml:space="preserve"> HYPERLINK "https://www.sebi.gov.in/reports-and-statistics/reports/jan-2022/consultation-paper-on-environmental-social-and-governance-esg-rating-providers-for-securities-markets_55516.html" </w:instrText>
      </w:r>
      <w:r w:rsidR="00DD4152">
        <w:fldChar w:fldCharType="separate"/>
      </w:r>
      <w:r w:rsidR="005A5221" w:rsidRPr="005A5221">
        <w:rPr>
          <w:rStyle w:val="Hyperlink"/>
          <w:rFonts w:ascii="Times New Roman" w:hAnsi="Times New Roman" w:cs="Times New Roman"/>
          <w:color w:val="000000" w:themeColor="text1"/>
          <w:lang w:val="en-US"/>
        </w:rPr>
        <w:t>https</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www</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sebi</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gov</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in</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reports</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and</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statistics</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reports</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jan</w:t>
      </w:r>
      <w:r w:rsidR="005A5221" w:rsidRPr="00993AA3">
        <w:rPr>
          <w:rStyle w:val="Hyperlink"/>
          <w:rFonts w:ascii="Times New Roman" w:hAnsi="Times New Roman" w:cs="Times New Roman"/>
          <w:color w:val="000000" w:themeColor="text1"/>
          <w:lang w:val="en-US"/>
        </w:rPr>
        <w:t>-2022/</w:t>
      </w:r>
      <w:r w:rsidR="005A5221" w:rsidRPr="005A5221">
        <w:rPr>
          <w:rStyle w:val="Hyperlink"/>
          <w:rFonts w:ascii="Times New Roman" w:hAnsi="Times New Roman" w:cs="Times New Roman"/>
          <w:color w:val="000000" w:themeColor="text1"/>
          <w:lang w:val="en-US"/>
        </w:rPr>
        <w:t>consultation</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paper</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on</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environmental</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social</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and</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governance</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esg</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rating</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providers</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for</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securities</w:t>
      </w:r>
      <w:r w:rsidR="005A5221" w:rsidRPr="00993AA3">
        <w:rPr>
          <w:rStyle w:val="Hyperlink"/>
          <w:rFonts w:ascii="Times New Roman" w:hAnsi="Times New Roman" w:cs="Times New Roman"/>
          <w:color w:val="000000" w:themeColor="text1"/>
          <w:lang w:val="en-US"/>
        </w:rPr>
        <w:t>-</w:t>
      </w:r>
      <w:r w:rsidR="005A5221" w:rsidRPr="005A5221">
        <w:rPr>
          <w:rStyle w:val="Hyperlink"/>
          <w:rFonts w:ascii="Times New Roman" w:hAnsi="Times New Roman" w:cs="Times New Roman"/>
          <w:color w:val="000000" w:themeColor="text1"/>
          <w:lang w:val="en-US"/>
        </w:rPr>
        <w:t>markets</w:t>
      </w:r>
      <w:r w:rsidR="005A5221" w:rsidRPr="00993AA3">
        <w:rPr>
          <w:rStyle w:val="Hyperlink"/>
          <w:rFonts w:ascii="Times New Roman" w:hAnsi="Times New Roman" w:cs="Times New Roman"/>
          <w:color w:val="000000" w:themeColor="text1"/>
          <w:lang w:val="en-US"/>
        </w:rPr>
        <w:t>_55516.</w:t>
      </w:r>
      <w:r w:rsidR="005A5221" w:rsidRPr="005A5221">
        <w:rPr>
          <w:rStyle w:val="Hyperlink"/>
          <w:rFonts w:ascii="Times New Roman" w:hAnsi="Times New Roman" w:cs="Times New Roman"/>
          <w:color w:val="000000" w:themeColor="text1"/>
          <w:lang w:val="en-US"/>
        </w:rPr>
        <w:t>html</w:t>
      </w:r>
      <w:r w:rsidR="00DD4152">
        <w:rPr>
          <w:rStyle w:val="Hyperlink"/>
          <w:rFonts w:ascii="Times New Roman" w:hAnsi="Times New Roman" w:cs="Times New Roman"/>
          <w:color w:val="000000" w:themeColor="text1"/>
          <w:lang w:val="en-US"/>
        </w:rPr>
        <w:fldChar w:fldCharType="end"/>
      </w:r>
    </w:p>
  </w:footnote>
  <w:footnote w:id="7">
    <w:p w14:paraId="3F8628FB" w14:textId="77777777" w:rsidR="00B8332A" w:rsidRPr="005A5221" w:rsidRDefault="00B8332A" w:rsidP="005A5221">
      <w:pPr>
        <w:pStyle w:val="FootnoteText"/>
        <w:jc w:val="both"/>
        <w:rPr>
          <w:rFonts w:ascii="Times New Roman" w:hAnsi="Times New Roman" w:cs="Times New Roman"/>
          <w:color w:val="000000" w:themeColor="text1"/>
        </w:rPr>
      </w:pPr>
      <w:r w:rsidRPr="005A5221">
        <w:rPr>
          <w:rStyle w:val="FootnoteReference"/>
          <w:rFonts w:ascii="Times New Roman" w:hAnsi="Times New Roman" w:cs="Times New Roman"/>
        </w:rPr>
        <w:footnoteRef/>
      </w:r>
      <w:r w:rsidR="005A5221" w:rsidRPr="005A5221">
        <w:rPr>
          <w:rFonts w:ascii="Times New Roman" w:hAnsi="Times New Roman" w:cs="Times New Roman"/>
          <w:lang w:val="en-US"/>
        </w:rPr>
        <w:t xml:space="preserve"> </w:t>
      </w:r>
      <w:r w:rsidR="005A5221" w:rsidRPr="005A5221">
        <w:rPr>
          <w:rFonts w:ascii="Times New Roman" w:hAnsi="Times New Roman" w:cs="Times New Roman"/>
          <w:color w:val="000000" w:themeColor="text1"/>
          <w:lang w:val="en-US"/>
        </w:rPr>
        <w:t xml:space="preserve">IOSCO. Environmental, Social and Governance (ESG) Ratings and Data Products Providers // IOSCO. </w:t>
      </w:r>
      <w:r w:rsidR="005A5221" w:rsidRPr="005A5221">
        <w:rPr>
          <w:rFonts w:ascii="Times New Roman" w:hAnsi="Times New Roman" w:cs="Times New Roman"/>
          <w:color w:val="000000" w:themeColor="text1"/>
        </w:rPr>
        <w:t xml:space="preserve">2021. </w:t>
      </w:r>
      <w:r w:rsidR="005A5221" w:rsidRPr="005A5221">
        <w:rPr>
          <w:rFonts w:ascii="Times New Roman" w:hAnsi="Times New Roman" w:cs="Times New Roman"/>
          <w:color w:val="000000" w:themeColor="text1"/>
          <w:lang w:val="en-US"/>
        </w:rPr>
        <w:t>URL</w:t>
      </w:r>
      <w:r w:rsidR="005A5221" w:rsidRPr="005A5221">
        <w:rPr>
          <w:rFonts w:ascii="Times New Roman" w:hAnsi="Times New Roman" w:cs="Times New Roman"/>
          <w:color w:val="000000" w:themeColor="text1"/>
        </w:rPr>
        <w:t xml:space="preserve">: </w:t>
      </w:r>
      <w:hyperlink r:id="rId1" w:history="1">
        <w:r w:rsidR="005A5221" w:rsidRPr="005A5221">
          <w:rPr>
            <w:rStyle w:val="Hyperlink"/>
            <w:rFonts w:ascii="Times New Roman" w:hAnsi="Times New Roman" w:cs="Times New Roman"/>
            <w:color w:val="000000" w:themeColor="text1"/>
            <w:lang w:val="en-US"/>
          </w:rPr>
          <w:t>https</w:t>
        </w:r>
        <w:r w:rsidR="005A5221" w:rsidRPr="005A5221">
          <w:rPr>
            <w:rStyle w:val="Hyperlink"/>
            <w:rFonts w:ascii="Times New Roman" w:hAnsi="Times New Roman" w:cs="Times New Roman"/>
            <w:color w:val="000000" w:themeColor="text1"/>
          </w:rPr>
          <w:t>://</w:t>
        </w:r>
        <w:r w:rsidR="005A5221" w:rsidRPr="005A5221">
          <w:rPr>
            <w:rStyle w:val="Hyperlink"/>
            <w:rFonts w:ascii="Times New Roman" w:hAnsi="Times New Roman" w:cs="Times New Roman"/>
            <w:color w:val="000000" w:themeColor="text1"/>
            <w:lang w:val="en-US"/>
          </w:rPr>
          <w:t>www</w:t>
        </w:r>
        <w:r w:rsidR="005A5221" w:rsidRPr="005A5221">
          <w:rPr>
            <w:rStyle w:val="Hyperlink"/>
            <w:rFonts w:ascii="Times New Roman" w:hAnsi="Times New Roman" w:cs="Times New Roman"/>
            <w:color w:val="000000" w:themeColor="text1"/>
          </w:rPr>
          <w:t>.</w:t>
        </w:r>
        <w:proofErr w:type="spellStart"/>
        <w:r w:rsidR="005A5221" w:rsidRPr="005A5221">
          <w:rPr>
            <w:rStyle w:val="Hyperlink"/>
            <w:rFonts w:ascii="Times New Roman" w:hAnsi="Times New Roman" w:cs="Times New Roman"/>
            <w:color w:val="000000" w:themeColor="text1"/>
            <w:lang w:val="en-US"/>
          </w:rPr>
          <w:t>iosco</w:t>
        </w:r>
        <w:proofErr w:type="spellEnd"/>
        <w:r w:rsidR="005A5221" w:rsidRPr="005A5221">
          <w:rPr>
            <w:rStyle w:val="Hyperlink"/>
            <w:rFonts w:ascii="Times New Roman" w:hAnsi="Times New Roman" w:cs="Times New Roman"/>
            <w:color w:val="000000" w:themeColor="text1"/>
          </w:rPr>
          <w:t>.</w:t>
        </w:r>
        <w:r w:rsidR="005A5221" w:rsidRPr="005A5221">
          <w:rPr>
            <w:rStyle w:val="Hyperlink"/>
            <w:rFonts w:ascii="Times New Roman" w:hAnsi="Times New Roman" w:cs="Times New Roman"/>
            <w:color w:val="000000" w:themeColor="text1"/>
            <w:lang w:val="en-US"/>
          </w:rPr>
          <w:t>org</w:t>
        </w:r>
        <w:r w:rsidR="005A5221" w:rsidRPr="005A5221">
          <w:rPr>
            <w:rStyle w:val="Hyperlink"/>
            <w:rFonts w:ascii="Times New Roman" w:hAnsi="Times New Roman" w:cs="Times New Roman"/>
            <w:color w:val="000000" w:themeColor="text1"/>
          </w:rPr>
          <w:t>/</w:t>
        </w:r>
        <w:r w:rsidR="005A5221" w:rsidRPr="005A5221">
          <w:rPr>
            <w:rStyle w:val="Hyperlink"/>
            <w:rFonts w:ascii="Times New Roman" w:hAnsi="Times New Roman" w:cs="Times New Roman"/>
            <w:color w:val="000000" w:themeColor="text1"/>
            <w:lang w:val="en-US"/>
          </w:rPr>
          <w:t>library</w:t>
        </w:r>
        <w:r w:rsidR="005A5221" w:rsidRPr="005A5221">
          <w:rPr>
            <w:rStyle w:val="Hyperlink"/>
            <w:rFonts w:ascii="Times New Roman" w:hAnsi="Times New Roman" w:cs="Times New Roman"/>
            <w:color w:val="000000" w:themeColor="text1"/>
          </w:rPr>
          <w:t>/</w:t>
        </w:r>
        <w:proofErr w:type="spellStart"/>
        <w:r w:rsidR="005A5221" w:rsidRPr="005A5221">
          <w:rPr>
            <w:rStyle w:val="Hyperlink"/>
            <w:rFonts w:ascii="Times New Roman" w:hAnsi="Times New Roman" w:cs="Times New Roman"/>
            <w:color w:val="000000" w:themeColor="text1"/>
            <w:lang w:val="en-US"/>
          </w:rPr>
          <w:t>pubdocs</w:t>
        </w:r>
        <w:proofErr w:type="spellEnd"/>
        <w:r w:rsidR="005A5221" w:rsidRPr="005A5221">
          <w:rPr>
            <w:rStyle w:val="Hyperlink"/>
            <w:rFonts w:ascii="Times New Roman" w:hAnsi="Times New Roman" w:cs="Times New Roman"/>
            <w:color w:val="000000" w:themeColor="text1"/>
          </w:rPr>
          <w:t>/</w:t>
        </w:r>
        <w:r w:rsidR="005A5221" w:rsidRPr="005A5221">
          <w:rPr>
            <w:rStyle w:val="Hyperlink"/>
            <w:rFonts w:ascii="Times New Roman" w:hAnsi="Times New Roman" w:cs="Times New Roman"/>
            <w:color w:val="000000" w:themeColor="text1"/>
            <w:lang w:val="en-US"/>
          </w:rPr>
          <w:t>pdf</w:t>
        </w:r>
        <w:r w:rsidR="005A5221" w:rsidRPr="005A5221">
          <w:rPr>
            <w:rStyle w:val="Hyperlink"/>
            <w:rFonts w:ascii="Times New Roman" w:hAnsi="Times New Roman" w:cs="Times New Roman"/>
            <w:color w:val="000000" w:themeColor="text1"/>
          </w:rPr>
          <w:t>/</w:t>
        </w:r>
        <w:r w:rsidR="005A5221" w:rsidRPr="005A5221">
          <w:rPr>
            <w:rStyle w:val="Hyperlink"/>
            <w:rFonts w:ascii="Times New Roman" w:hAnsi="Times New Roman" w:cs="Times New Roman"/>
            <w:color w:val="000000" w:themeColor="text1"/>
            <w:lang w:val="en-US"/>
          </w:rPr>
          <w:t>IOSCOPD</w:t>
        </w:r>
        <w:r w:rsidR="005A5221" w:rsidRPr="005A5221">
          <w:rPr>
            <w:rStyle w:val="Hyperlink"/>
            <w:rFonts w:ascii="Times New Roman" w:hAnsi="Times New Roman" w:cs="Times New Roman"/>
            <w:color w:val="000000" w:themeColor="text1"/>
          </w:rPr>
          <w:t>690.</w:t>
        </w:r>
        <w:r w:rsidR="005A5221" w:rsidRPr="005A5221">
          <w:rPr>
            <w:rStyle w:val="Hyperlink"/>
            <w:rFonts w:ascii="Times New Roman" w:hAnsi="Times New Roman" w:cs="Times New Roman"/>
            <w:color w:val="000000" w:themeColor="text1"/>
            <w:lang w:val="en-US"/>
          </w:rPr>
          <w:t>pdf</w:t>
        </w:r>
      </w:hyperlink>
    </w:p>
  </w:footnote>
  <w:footnote w:id="8">
    <w:p w14:paraId="18DEEF37" w14:textId="77777777" w:rsidR="00B8332A" w:rsidRPr="005A5221" w:rsidRDefault="00B8332A" w:rsidP="00834AB1">
      <w:pPr>
        <w:pStyle w:val="FootnoteText"/>
        <w:jc w:val="both"/>
        <w:rPr>
          <w:rFonts w:ascii="Times New Roman" w:hAnsi="Times New Roman" w:cs="Times New Roman"/>
          <w:lang w:val="en-US"/>
        </w:rPr>
      </w:pPr>
      <w:r w:rsidRPr="005A5221">
        <w:rPr>
          <w:rStyle w:val="FootnoteReference"/>
          <w:rFonts w:ascii="Times New Roman" w:hAnsi="Times New Roman" w:cs="Times New Roman"/>
        </w:rPr>
        <w:footnoteRef/>
      </w:r>
      <w:r w:rsidR="005A5221" w:rsidRPr="005A5221">
        <w:rPr>
          <w:rFonts w:ascii="Times New Roman" w:hAnsi="Times New Roman" w:cs="Times New Roman"/>
          <w:color w:val="000000" w:themeColor="text1"/>
          <w:shd w:val="clear" w:color="auto" w:fill="FFFFFF"/>
          <w:lang w:val="en-US"/>
        </w:rPr>
        <w:t xml:space="preserve">Krueger, Philipp and Sautner, Zacharias and Tang, Dragon </w:t>
      </w:r>
      <w:proofErr w:type="spellStart"/>
      <w:r w:rsidR="005A5221" w:rsidRPr="005A5221">
        <w:rPr>
          <w:rFonts w:ascii="Times New Roman" w:hAnsi="Times New Roman" w:cs="Times New Roman"/>
          <w:color w:val="000000" w:themeColor="text1"/>
          <w:shd w:val="clear" w:color="auto" w:fill="FFFFFF"/>
          <w:lang w:val="en-US"/>
        </w:rPr>
        <w:t>Yongjun</w:t>
      </w:r>
      <w:proofErr w:type="spellEnd"/>
      <w:r w:rsidR="005A5221" w:rsidRPr="005A5221">
        <w:rPr>
          <w:rFonts w:ascii="Times New Roman" w:hAnsi="Times New Roman" w:cs="Times New Roman"/>
          <w:color w:val="000000" w:themeColor="text1"/>
          <w:shd w:val="clear" w:color="auto" w:fill="FFFFFF"/>
          <w:lang w:val="en-US"/>
        </w:rPr>
        <w:t xml:space="preserve"> and Zhong, Rui, The Effects of Mandatory ESG Disclosure Around the World, 2023. European Corporate Governance Institute – Finance Working Paper No. 754/2021, Swiss Finance Institute Research Paper No. 21-44. </w:t>
      </w:r>
    </w:p>
  </w:footnote>
  <w:footnote w:id="9">
    <w:p w14:paraId="3B8BD624" w14:textId="77777777" w:rsidR="00B8332A" w:rsidRPr="005A5221" w:rsidRDefault="00B8332A" w:rsidP="00834AB1">
      <w:pPr>
        <w:pStyle w:val="FootnoteText"/>
        <w:jc w:val="both"/>
        <w:rPr>
          <w:rFonts w:ascii="Times New Roman" w:hAnsi="Times New Roman" w:cs="Times New Roman"/>
          <w:lang w:val="en-US"/>
        </w:rPr>
      </w:pPr>
      <w:r w:rsidRPr="005A5221">
        <w:rPr>
          <w:rStyle w:val="FootnoteReference"/>
          <w:rFonts w:ascii="Times New Roman" w:hAnsi="Times New Roman" w:cs="Times New Roman"/>
        </w:rPr>
        <w:footnoteRef/>
      </w:r>
      <w:r w:rsidR="005A5221" w:rsidRPr="005A5221">
        <w:rPr>
          <w:rFonts w:ascii="Times New Roman" w:hAnsi="Times New Roman" w:cs="Times New Roman"/>
        </w:rPr>
        <w:t xml:space="preserve"> </w:t>
      </w:r>
      <w:r w:rsidR="005A5221" w:rsidRPr="005A5221">
        <w:rPr>
          <w:rFonts w:ascii="Times New Roman" w:hAnsi="Times New Roman" w:cs="Times New Roman"/>
          <w:color w:val="000000" w:themeColor="text1"/>
        </w:rPr>
        <w:t xml:space="preserve">Банк России. Модельная методология </w:t>
      </w:r>
      <w:r w:rsidR="005A5221" w:rsidRPr="005A5221">
        <w:rPr>
          <w:rFonts w:ascii="Times New Roman" w:hAnsi="Times New Roman" w:cs="Times New Roman"/>
          <w:color w:val="000000" w:themeColor="text1"/>
          <w:lang w:val="en-US"/>
        </w:rPr>
        <w:t>ESG</w:t>
      </w:r>
      <w:r w:rsidR="005A5221" w:rsidRPr="005A5221">
        <w:rPr>
          <w:rFonts w:ascii="Times New Roman" w:hAnsi="Times New Roman" w:cs="Times New Roman"/>
          <w:color w:val="000000" w:themeColor="text1"/>
        </w:rPr>
        <w:t xml:space="preserve">-рейтингов: Доклад для общественных консультаций // Банк России. </w:t>
      </w:r>
      <w:r w:rsidR="005A5221" w:rsidRPr="005A5221">
        <w:rPr>
          <w:rFonts w:ascii="Times New Roman" w:hAnsi="Times New Roman" w:cs="Times New Roman"/>
          <w:color w:val="000000" w:themeColor="text1"/>
          <w:lang w:val="en-US"/>
        </w:rPr>
        <w:t xml:space="preserve">2023. URL: </w:t>
      </w:r>
      <w:r w:rsidR="00DD4152">
        <w:fldChar w:fldCharType="begin"/>
      </w:r>
      <w:r w:rsidR="00DD4152" w:rsidRPr="00993AA3">
        <w:rPr>
          <w:lang w:val="en-US"/>
        </w:rPr>
        <w:instrText xml:space="preserve"> HYPERLINK "https://www.cbr.ru/Content/Document/File/144085/Consultation_Paper_17012023.pdf" </w:instrText>
      </w:r>
      <w:r w:rsidR="00DD4152">
        <w:fldChar w:fldCharType="separate"/>
      </w:r>
      <w:r w:rsidR="005A5221" w:rsidRPr="005A5221">
        <w:rPr>
          <w:rStyle w:val="Hyperlink"/>
          <w:rFonts w:ascii="Times New Roman" w:hAnsi="Times New Roman" w:cs="Times New Roman"/>
          <w:color w:val="000000" w:themeColor="text1"/>
          <w:lang w:val="en-US"/>
        </w:rPr>
        <w:t>https://www.cbr.ru/Content/Document/File/144085/Consultation_Paper_17012023.pdf</w:t>
      </w:r>
      <w:r w:rsidR="00DD4152">
        <w:rPr>
          <w:rStyle w:val="Hyperlink"/>
          <w:rFonts w:ascii="Times New Roman" w:hAnsi="Times New Roman" w:cs="Times New Roman"/>
          <w:color w:val="000000" w:themeColor="text1"/>
          <w:lang w:val="en-US"/>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554E"/>
    <w:multiLevelType w:val="hybridMultilevel"/>
    <w:tmpl w:val="D5FA6CE6"/>
    <w:lvl w:ilvl="0" w:tplc="1D78C608">
      <w:start w:val="1"/>
      <w:numFmt w:val="bullet"/>
      <w:lvlText w:val=""/>
      <w:lvlJc w:val="left"/>
      <w:pPr>
        <w:tabs>
          <w:tab w:val="num" w:pos="720"/>
        </w:tabs>
        <w:ind w:left="720" w:hanging="360"/>
      </w:pPr>
      <w:rPr>
        <w:rFonts w:ascii="Wingdings" w:hAnsi="Wingdings" w:hint="default"/>
      </w:rPr>
    </w:lvl>
    <w:lvl w:ilvl="1" w:tplc="A814B00A" w:tentative="1">
      <w:start w:val="1"/>
      <w:numFmt w:val="bullet"/>
      <w:lvlText w:val=""/>
      <w:lvlJc w:val="left"/>
      <w:pPr>
        <w:tabs>
          <w:tab w:val="num" w:pos="1440"/>
        </w:tabs>
        <w:ind w:left="1440" w:hanging="360"/>
      </w:pPr>
      <w:rPr>
        <w:rFonts w:ascii="Wingdings" w:hAnsi="Wingdings" w:hint="default"/>
      </w:rPr>
    </w:lvl>
    <w:lvl w:ilvl="2" w:tplc="22C416E2" w:tentative="1">
      <w:start w:val="1"/>
      <w:numFmt w:val="bullet"/>
      <w:lvlText w:val=""/>
      <w:lvlJc w:val="left"/>
      <w:pPr>
        <w:tabs>
          <w:tab w:val="num" w:pos="2160"/>
        </w:tabs>
        <w:ind w:left="2160" w:hanging="360"/>
      </w:pPr>
      <w:rPr>
        <w:rFonts w:ascii="Wingdings" w:hAnsi="Wingdings" w:hint="default"/>
      </w:rPr>
    </w:lvl>
    <w:lvl w:ilvl="3" w:tplc="56BE2AC8" w:tentative="1">
      <w:start w:val="1"/>
      <w:numFmt w:val="bullet"/>
      <w:lvlText w:val=""/>
      <w:lvlJc w:val="left"/>
      <w:pPr>
        <w:tabs>
          <w:tab w:val="num" w:pos="2880"/>
        </w:tabs>
        <w:ind w:left="2880" w:hanging="360"/>
      </w:pPr>
      <w:rPr>
        <w:rFonts w:ascii="Wingdings" w:hAnsi="Wingdings" w:hint="default"/>
      </w:rPr>
    </w:lvl>
    <w:lvl w:ilvl="4" w:tplc="AF944516" w:tentative="1">
      <w:start w:val="1"/>
      <w:numFmt w:val="bullet"/>
      <w:lvlText w:val=""/>
      <w:lvlJc w:val="left"/>
      <w:pPr>
        <w:tabs>
          <w:tab w:val="num" w:pos="3600"/>
        </w:tabs>
        <w:ind w:left="3600" w:hanging="360"/>
      </w:pPr>
      <w:rPr>
        <w:rFonts w:ascii="Wingdings" w:hAnsi="Wingdings" w:hint="default"/>
      </w:rPr>
    </w:lvl>
    <w:lvl w:ilvl="5" w:tplc="C3088C48" w:tentative="1">
      <w:start w:val="1"/>
      <w:numFmt w:val="bullet"/>
      <w:lvlText w:val=""/>
      <w:lvlJc w:val="left"/>
      <w:pPr>
        <w:tabs>
          <w:tab w:val="num" w:pos="4320"/>
        </w:tabs>
        <w:ind w:left="4320" w:hanging="360"/>
      </w:pPr>
      <w:rPr>
        <w:rFonts w:ascii="Wingdings" w:hAnsi="Wingdings" w:hint="default"/>
      </w:rPr>
    </w:lvl>
    <w:lvl w:ilvl="6" w:tplc="4AB466B8" w:tentative="1">
      <w:start w:val="1"/>
      <w:numFmt w:val="bullet"/>
      <w:lvlText w:val=""/>
      <w:lvlJc w:val="left"/>
      <w:pPr>
        <w:tabs>
          <w:tab w:val="num" w:pos="5040"/>
        </w:tabs>
        <w:ind w:left="5040" w:hanging="360"/>
      </w:pPr>
      <w:rPr>
        <w:rFonts w:ascii="Wingdings" w:hAnsi="Wingdings" w:hint="default"/>
      </w:rPr>
    </w:lvl>
    <w:lvl w:ilvl="7" w:tplc="3AA8CA6C" w:tentative="1">
      <w:start w:val="1"/>
      <w:numFmt w:val="bullet"/>
      <w:lvlText w:val=""/>
      <w:lvlJc w:val="left"/>
      <w:pPr>
        <w:tabs>
          <w:tab w:val="num" w:pos="5760"/>
        </w:tabs>
        <w:ind w:left="5760" w:hanging="360"/>
      </w:pPr>
      <w:rPr>
        <w:rFonts w:ascii="Wingdings" w:hAnsi="Wingdings" w:hint="default"/>
      </w:rPr>
    </w:lvl>
    <w:lvl w:ilvl="8" w:tplc="3F7842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1D35A8"/>
    <w:multiLevelType w:val="hybridMultilevel"/>
    <w:tmpl w:val="55504594"/>
    <w:lvl w:ilvl="0" w:tplc="B3E2736A">
      <w:start w:val="1"/>
      <w:numFmt w:val="bullet"/>
      <w:lvlText w:val=""/>
      <w:lvlJc w:val="left"/>
      <w:pPr>
        <w:tabs>
          <w:tab w:val="num" w:pos="720"/>
        </w:tabs>
        <w:ind w:left="720" w:hanging="360"/>
      </w:pPr>
      <w:rPr>
        <w:rFonts w:ascii="Wingdings" w:hAnsi="Wingdings" w:hint="default"/>
      </w:rPr>
    </w:lvl>
    <w:lvl w:ilvl="1" w:tplc="192ACE5A" w:tentative="1">
      <w:start w:val="1"/>
      <w:numFmt w:val="bullet"/>
      <w:lvlText w:val=""/>
      <w:lvlJc w:val="left"/>
      <w:pPr>
        <w:tabs>
          <w:tab w:val="num" w:pos="1440"/>
        </w:tabs>
        <w:ind w:left="1440" w:hanging="360"/>
      </w:pPr>
      <w:rPr>
        <w:rFonts w:ascii="Wingdings" w:hAnsi="Wingdings" w:hint="default"/>
      </w:rPr>
    </w:lvl>
    <w:lvl w:ilvl="2" w:tplc="0AE2F7A4" w:tentative="1">
      <w:start w:val="1"/>
      <w:numFmt w:val="bullet"/>
      <w:lvlText w:val=""/>
      <w:lvlJc w:val="left"/>
      <w:pPr>
        <w:tabs>
          <w:tab w:val="num" w:pos="2160"/>
        </w:tabs>
        <w:ind w:left="2160" w:hanging="360"/>
      </w:pPr>
      <w:rPr>
        <w:rFonts w:ascii="Wingdings" w:hAnsi="Wingdings" w:hint="default"/>
      </w:rPr>
    </w:lvl>
    <w:lvl w:ilvl="3" w:tplc="D8826F8A" w:tentative="1">
      <w:start w:val="1"/>
      <w:numFmt w:val="bullet"/>
      <w:lvlText w:val=""/>
      <w:lvlJc w:val="left"/>
      <w:pPr>
        <w:tabs>
          <w:tab w:val="num" w:pos="2880"/>
        </w:tabs>
        <w:ind w:left="2880" w:hanging="360"/>
      </w:pPr>
      <w:rPr>
        <w:rFonts w:ascii="Wingdings" w:hAnsi="Wingdings" w:hint="default"/>
      </w:rPr>
    </w:lvl>
    <w:lvl w:ilvl="4" w:tplc="9F18056A" w:tentative="1">
      <w:start w:val="1"/>
      <w:numFmt w:val="bullet"/>
      <w:lvlText w:val=""/>
      <w:lvlJc w:val="left"/>
      <w:pPr>
        <w:tabs>
          <w:tab w:val="num" w:pos="3600"/>
        </w:tabs>
        <w:ind w:left="3600" w:hanging="360"/>
      </w:pPr>
      <w:rPr>
        <w:rFonts w:ascii="Wingdings" w:hAnsi="Wingdings" w:hint="default"/>
      </w:rPr>
    </w:lvl>
    <w:lvl w:ilvl="5" w:tplc="2D2C7EA2" w:tentative="1">
      <w:start w:val="1"/>
      <w:numFmt w:val="bullet"/>
      <w:lvlText w:val=""/>
      <w:lvlJc w:val="left"/>
      <w:pPr>
        <w:tabs>
          <w:tab w:val="num" w:pos="4320"/>
        </w:tabs>
        <w:ind w:left="4320" w:hanging="360"/>
      </w:pPr>
      <w:rPr>
        <w:rFonts w:ascii="Wingdings" w:hAnsi="Wingdings" w:hint="default"/>
      </w:rPr>
    </w:lvl>
    <w:lvl w:ilvl="6" w:tplc="A1C44756" w:tentative="1">
      <w:start w:val="1"/>
      <w:numFmt w:val="bullet"/>
      <w:lvlText w:val=""/>
      <w:lvlJc w:val="left"/>
      <w:pPr>
        <w:tabs>
          <w:tab w:val="num" w:pos="5040"/>
        </w:tabs>
        <w:ind w:left="5040" w:hanging="360"/>
      </w:pPr>
      <w:rPr>
        <w:rFonts w:ascii="Wingdings" w:hAnsi="Wingdings" w:hint="default"/>
      </w:rPr>
    </w:lvl>
    <w:lvl w:ilvl="7" w:tplc="39EEEC58" w:tentative="1">
      <w:start w:val="1"/>
      <w:numFmt w:val="bullet"/>
      <w:lvlText w:val=""/>
      <w:lvlJc w:val="left"/>
      <w:pPr>
        <w:tabs>
          <w:tab w:val="num" w:pos="5760"/>
        </w:tabs>
        <w:ind w:left="5760" w:hanging="360"/>
      </w:pPr>
      <w:rPr>
        <w:rFonts w:ascii="Wingdings" w:hAnsi="Wingdings" w:hint="default"/>
      </w:rPr>
    </w:lvl>
    <w:lvl w:ilvl="8" w:tplc="95AC63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896171"/>
    <w:multiLevelType w:val="hybridMultilevel"/>
    <w:tmpl w:val="F808FF14"/>
    <w:lvl w:ilvl="0" w:tplc="BD702CD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46"/>
    <w:rsid w:val="000079C1"/>
    <w:rsid w:val="000C530E"/>
    <w:rsid w:val="001C6342"/>
    <w:rsid w:val="00235980"/>
    <w:rsid w:val="003E380C"/>
    <w:rsid w:val="00485711"/>
    <w:rsid w:val="004C7EA0"/>
    <w:rsid w:val="005A5221"/>
    <w:rsid w:val="006F4012"/>
    <w:rsid w:val="00834AB1"/>
    <w:rsid w:val="0086235F"/>
    <w:rsid w:val="008975A4"/>
    <w:rsid w:val="008C2C46"/>
    <w:rsid w:val="00937498"/>
    <w:rsid w:val="00993AA3"/>
    <w:rsid w:val="00A47517"/>
    <w:rsid w:val="00AA225C"/>
    <w:rsid w:val="00B8332A"/>
    <w:rsid w:val="00C05BC7"/>
    <w:rsid w:val="00C17924"/>
    <w:rsid w:val="00C32CB1"/>
    <w:rsid w:val="00D0163B"/>
    <w:rsid w:val="00D11BFD"/>
    <w:rsid w:val="00D40E03"/>
    <w:rsid w:val="00D66266"/>
    <w:rsid w:val="00DD4152"/>
    <w:rsid w:val="00E83032"/>
    <w:rsid w:val="00E909F8"/>
    <w:rsid w:val="00EB3C7A"/>
    <w:rsid w:val="00F90684"/>
    <w:rsid w:val="00FC0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69D1"/>
  <w15:docId w15:val="{25B35D3E-3B1F-EA45-8A2D-5F172201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C46"/>
    <w:rPr>
      <w:color w:val="0000FF"/>
      <w:u w:val="single"/>
    </w:rPr>
  </w:style>
  <w:style w:type="paragraph" w:styleId="FootnoteText">
    <w:name w:val="footnote text"/>
    <w:basedOn w:val="Normal"/>
    <w:link w:val="FootnoteTextChar"/>
    <w:uiPriority w:val="99"/>
    <w:unhideWhenUsed/>
    <w:rsid w:val="008C2C46"/>
    <w:pPr>
      <w:spacing w:after="0" w:line="240" w:lineRule="auto"/>
    </w:pPr>
    <w:rPr>
      <w:sz w:val="20"/>
      <w:szCs w:val="20"/>
    </w:rPr>
  </w:style>
  <w:style w:type="character" w:customStyle="1" w:styleId="FootnoteTextChar">
    <w:name w:val="Footnote Text Char"/>
    <w:basedOn w:val="DefaultParagraphFont"/>
    <w:link w:val="FootnoteText"/>
    <w:uiPriority w:val="99"/>
    <w:rsid w:val="008C2C46"/>
    <w:rPr>
      <w:sz w:val="20"/>
      <w:szCs w:val="20"/>
    </w:rPr>
  </w:style>
  <w:style w:type="character" w:styleId="FootnoteReference">
    <w:name w:val="footnote reference"/>
    <w:basedOn w:val="DefaultParagraphFont"/>
    <w:uiPriority w:val="99"/>
    <w:semiHidden/>
    <w:unhideWhenUsed/>
    <w:rsid w:val="008C2C46"/>
    <w:rPr>
      <w:vertAlign w:val="superscript"/>
    </w:rPr>
  </w:style>
  <w:style w:type="character" w:customStyle="1" w:styleId="quoteinbody-quotenamecontainer">
    <w:name w:val="quoteinbody-quotenamecontainer"/>
    <w:basedOn w:val="DefaultParagraphFont"/>
    <w:rsid w:val="008C2C46"/>
  </w:style>
  <w:style w:type="character" w:styleId="Emphasis">
    <w:name w:val="Emphasis"/>
    <w:basedOn w:val="DefaultParagraphFont"/>
    <w:uiPriority w:val="20"/>
    <w:qFormat/>
    <w:rsid w:val="008C2C46"/>
    <w:rPr>
      <w:i/>
      <w:iCs/>
    </w:rPr>
  </w:style>
  <w:style w:type="paragraph" w:styleId="NormalWeb">
    <w:name w:val="Normal (Web)"/>
    <w:basedOn w:val="Normal"/>
    <w:uiPriority w:val="99"/>
    <w:unhideWhenUsed/>
    <w:rsid w:val="008C2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DocumentMap">
    <w:name w:val="Document Map"/>
    <w:basedOn w:val="Normal"/>
    <w:link w:val="DocumentMapChar"/>
    <w:uiPriority w:val="99"/>
    <w:semiHidden/>
    <w:unhideWhenUsed/>
    <w:rsid w:val="008C2C4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2C46"/>
    <w:rPr>
      <w:rFonts w:ascii="Tahoma" w:hAnsi="Tahoma" w:cs="Tahoma"/>
      <w:sz w:val="16"/>
      <w:szCs w:val="16"/>
    </w:rPr>
  </w:style>
  <w:style w:type="paragraph" w:styleId="Header">
    <w:name w:val="header"/>
    <w:basedOn w:val="Normal"/>
    <w:link w:val="HeaderChar"/>
    <w:uiPriority w:val="99"/>
    <w:semiHidden/>
    <w:unhideWhenUsed/>
    <w:rsid w:val="00C1792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C17924"/>
  </w:style>
  <w:style w:type="paragraph" w:styleId="Footer">
    <w:name w:val="footer"/>
    <w:basedOn w:val="Normal"/>
    <w:link w:val="FooterChar"/>
    <w:uiPriority w:val="99"/>
    <w:semiHidden/>
    <w:unhideWhenUsed/>
    <w:rsid w:val="00C1792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C17924"/>
  </w:style>
  <w:style w:type="character" w:styleId="FollowedHyperlink">
    <w:name w:val="FollowedHyperlink"/>
    <w:basedOn w:val="DefaultParagraphFont"/>
    <w:uiPriority w:val="99"/>
    <w:semiHidden/>
    <w:unhideWhenUsed/>
    <w:rsid w:val="00A475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644566">
      <w:bodyDiv w:val="1"/>
      <w:marLeft w:val="0"/>
      <w:marRight w:val="0"/>
      <w:marTop w:val="0"/>
      <w:marBottom w:val="0"/>
      <w:divBdr>
        <w:top w:val="none" w:sz="0" w:space="0" w:color="auto"/>
        <w:left w:val="none" w:sz="0" w:space="0" w:color="auto"/>
        <w:bottom w:val="none" w:sz="0" w:space="0" w:color="auto"/>
        <w:right w:val="none" w:sz="0" w:space="0" w:color="auto"/>
      </w:divBdr>
    </w:div>
    <w:div w:id="869728582">
      <w:bodyDiv w:val="1"/>
      <w:marLeft w:val="0"/>
      <w:marRight w:val="0"/>
      <w:marTop w:val="0"/>
      <w:marBottom w:val="0"/>
      <w:divBdr>
        <w:top w:val="none" w:sz="0" w:space="0" w:color="auto"/>
        <w:left w:val="none" w:sz="0" w:space="0" w:color="auto"/>
        <w:bottom w:val="none" w:sz="0" w:space="0" w:color="auto"/>
        <w:right w:val="none" w:sz="0" w:space="0" w:color="auto"/>
      </w:divBdr>
    </w:div>
    <w:div w:id="13336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br.ru/Content/Document/File/144085/Consultation_Paper_17012023.pdf" TargetMode="External"/><Relationship Id="rId13" Type="http://schemas.openxmlformats.org/officeDocument/2006/relationships/hyperlink" Target="https://www.sebi.gov.in/reports-and-statistics/reports/jan-2022/consultation-paper-on-environmental-social-and-governance-esg-rating-providers-for-securities-markets_5551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cd-ilibrary.org/docserver/2c5b535c-en.pdf?expires=1678203099&amp;id=id&amp;accname=guest&amp;checksum=FDF8121F8B32F7B1F2DF0EC32E4A4E4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s.ssrn.com/sol3/papers.cfm?abstract_id=41796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osco.org/library/pubdocs/pdf/IOSCOPD690.pdf" TargetMode="External"/><Relationship Id="rId4" Type="http://schemas.openxmlformats.org/officeDocument/2006/relationships/settings" Target="settings.xml"/><Relationship Id="rId9" Type="http://schemas.openxmlformats.org/officeDocument/2006/relationships/hyperlink" Target="https://www.efama.org/newsroom/news/iosco-s-consultation-esg-ratings-and-data-products-provider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osco.org/library/pubdocs/pdf/IOSCOPD69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EB103EF-B5ED-4ED5-92A3-0387840A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2135</Words>
  <Characters>14796</Characters>
  <Application>Microsoft Office Word</Application>
  <DocSecurity>0</DocSecurity>
  <Lines>321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 Yulia</dc:creator>
  <cp:lastModifiedBy>Russia-OECD Center</cp:lastModifiedBy>
  <cp:revision>2</cp:revision>
  <dcterms:created xsi:type="dcterms:W3CDTF">2023-03-10T13:36:00Z</dcterms:created>
  <dcterms:modified xsi:type="dcterms:W3CDTF">2023-03-10T13:36:00Z</dcterms:modified>
</cp:coreProperties>
</file>