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8B" w:rsidRPr="00624463" w:rsidRDefault="002A60E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44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Мотивы российских компаний к осуществлению «зеленых» инвестиций</w:t>
      </w:r>
    </w:p>
    <w:p w:rsidR="00AB5DFD" w:rsidRPr="00735887" w:rsidRDefault="00AB5DFD" w:rsidP="0083177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35887">
        <w:rPr>
          <w:rFonts w:ascii="Times New Roman" w:hAnsi="Times New Roman" w:cs="Times New Roman"/>
          <w:sz w:val="24"/>
          <w:szCs w:val="24"/>
        </w:rPr>
        <w:t>Мотивация компаний к зеленому инвестированию является главным условием проведения технологической модернизации экономики. Н</w:t>
      </w:r>
      <w:r w:rsidR="00FB06F7">
        <w:rPr>
          <w:rFonts w:ascii="Times New Roman" w:hAnsi="Times New Roman" w:cs="Times New Roman"/>
          <w:sz w:val="24"/>
          <w:szCs w:val="24"/>
        </w:rPr>
        <w:t xml:space="preserve">о </w:t>
      </w:r>
      <w:r w:rsidRPr="00735887">
        <w:rPr>
          <w:rFonts w:ascii="Times New Roman" w:hAnsi="Times New Roman" w:cs="Times New Roman"/>
          <w:sz w:val="24"/>
          <w:szCs w:val="24"/>
        </w:rPr>
        <w:t>для компаний</w:t>
      </w:r>
      <w:r w:rsidR="00FB06F7">
        <w:rPr>
          <w:rFonts w:ascii="Times New Roman" w:hAnsi="Times New Roman" w:cs="Times New Roman"/>
          <w:sz w:val="24"/>
          <w:szCs w:val="24"/>
        </w:rPr>
        <w:t xml:space="preserve"> из развитых</w:t>
      </w:r>
      <w:r w:rsidRPr="00735887">
        <w:rPr>
          <w:rFonts w:ascii="Times New Roman" w:hAnsi="Times New Roman" w:cs="Times New Roman"/>
          <w:sz w:val="24"/>
          <w:szCs w:val="24"/>
        </w:rPr>
        <w:t xml:space="preserve"> и развивающихся стран направление воздействия факторов</w:t>
      </w:r>
      <w:r w:rsidR="00FB06F7">
        <w:rPr>
          <w:rFonts w:ascii="Times New Roman" w:hAnsi="Times New Roman" w:cs="Times New Roman"/>
          <w:sz w:val="24"/>
          <w:szCs w:val="24"/>
        </w:rPr>
        <w:t xml:space="preserve"> может бы</w:t>
      </w:r>
      <w:r w:rsidR="00FB06F7" w:rsidRPr="00735887">
        <w:rPr>
          <w:rFonts w:ascii="Times New Roman" w:hAnsi="Times New Roman" w:cs="Times New Roman"/>
          <w:sz w:val="24"/>
          <w:szCs w:val="24"/>
        </w:rPr>
        <w:t>ть различным</w:t>
      </w:r>
      <w:r w:rsidR="00831772">
        <w:rPr>
          <w:rFonts w:ascii="Times New Roman" w:hAnsi="Times New Roman" w:cs="Times New Roman"/>
          <w:sz w:val="24"/>
          <w:szCs w:val="24"/>
        </w:rPr>
        <w:t>. Это</w:t>
      </w:r>
      <w:r w:rsidRPr="00735887">
        <w:rPr>
          <w:rFonts w:ascii="Times New Roman" w:hAnsi="Times New Roman" w:cs="Times New Roman"/>
          <w:sz w:val="24"/>
          <w:szCs w:val="24"/>
        </w:rPr>
        <w:t xml:space="preserve"> приводит к несовпадению мотивов</w:t>
      </w:r>
      <w:r w:rsidR="00831772">
        <w:rPr>
          <w:rFonts w:ascii="Times New Roman" w:hAnsi="Times New Roman" w:cs="Times New Roman"/>
          <w:sz w:val="24"/>
          <w:szCs w:val="24"/>
        </w:rPr>
        <w:t xml:space="preserve"> к осуществлению зеленых инвестиций</w:t>
      </w:r>
      <w:r w:rsidRPr="00735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772" w:rsidRDefault="00AB5DFD" w:rsidP="00AB5D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D0">
        <w:rPr>
          <w:rFonts w:ascii="Times New Roman" w:hAnsi="Times New Roman" w:cs="Times New Roman"/>
          <w:sz w:val="24"/>
          <w:szCs w:val="24"/>
        </w:rPr>
        <w:t xml:space="preserve">Выводы данного исследования имеют </w:t>
      </w:r>
      <w:r w:rsidR="00624463">
        <w:rPr>
          <w:rFonts w:ascii="Times New Roman" w:hAnsi="Times New Roman" w:cs="Times New Roman"/>
          <w:sz w:val="24"/>
          <w:szCs w:val="24"/>
        </w:rPr>
        <w:t xml:space="preserve">значение для развития </w:t>
      </w:r>
      <w:r w:rsidRPr="00D76FD0">
        <w:rPr>
          <w:rFonts w:ascii="Times New Roman" w:hAnsi="Times New Roman" w:cs="Times New Roman"/>
          <w:sz w:val="24"/>
          <w:szCs w:val="24"/>
        </w:rPr>
        <w:t>зелены</w:t>
      </w:r>
      <w:r w:rsidR="00624463">
        <w:rPr>
          <w:rFonts w:ascii="Times New Roman" w:hAnsi="Times New Roman" w:cs="Times New Roman"/>
          <w:sz w:val="24"/>
          <w:szCs w:val="24"/>
        </w:rPr>
        <w:t>х</w:t>
      </w:r>
      <w:r w:rsidRPr="00D76FD0">
        <w:rPr>
          <w:rFonts w:ascii="Times New Roman" w:hAnsi="Times New Roman" w:cs="Times New Roman"/>
          <w:sz w:val="24"/>
          <w:szCs w:val="24"/>
        </w:rPr>
        <w:t xml:space="preserve"> инвестиций в России и поиска стимулов для национальных компаний. Во-первых, необходимо дальнейшее формирование институциональной среды зеленого инвестирования чтобы получить возможность формировать четкие сигналы для компаний на ур</w:t>
      </w:r>
      <w:r w:rsidR="00831772">
        <w:rPr>
          <w:rFonts w:ascii="Times New Roman" w:hAnsi="Times New Roman" w:cs="Times New Roman"/>
          <w:sz w:val="24"/>
          <w:szCs w:val="24"/>
        </w:rPr>
        <w:t>овне государства. Исследование</w:t>
      </w:r>
      <w:r w:rsidRPr="00D76FD0">
        <w:rPr>
          <w:rFonts w:ascii="Times New Roman" w:hAnsi="Times New Roman" w:cs="Times New Roman"/>
          <w:sz w:val="24"/>
          <w:szCs w:val="24"/>
        </w:rPr>
        <w:t xml:space="preserve"> показывает, что нынешнее государственное экологическое регулирование не является для компаний сигналом к зеленому инвестированию. </w:t>
      </w:r>
    </w:p>
    <w:p w:rsidR="00AB5DFD" w:rsidRPr="00D76FD0" w:rsidRDefault="00AB5DFD" w:rsidP="00AB5D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D0">
        <w:rPr>
          <w:rFonts w:ascii="Times New Roman" w:hAnsi="Times New Roman" w:cs="Times New Roman"/>
          <w:sz w:val="24"/>
          <w:szCs w:val="24"/>
        </w:rPr>
        <w:t>Во-вторых, для стимулирования зеленых инвестиций в масштабах всей экономики должна быть определена граница влияния внешних факторов (иностранные инвесторы, международное регулирование выбросов СО</w:t>
      </w:r>
      <w:r w:rsidRPr="00D76F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6FD0">
        <w:rPr>
          <w:rFonts w:ascii="Times New Roman" w:hAnsi="Times New Roman" w:cs="Times New Roman"/>
          <w:sz w:val="24"/>
          <w:szCs w:val="24"/>
        </w:rPr>
        <w:t xml:space="preserve">, глобальная повестка) и внутренних факторов (национальные цели развития). Особенно важно правильно определить степень и способ влияния иностранных инвесторов и национальной экономической политики. Важно продолжать использовать эффект от иностранных инвестиций, расширяя при этом внутренние инвестиционные возможности компаний. </w:t>
      </w:r>
    </w:p>
    <w:p w:rsidR="00831772" w:rsidRDefault="00AB5DFD" w:rsidP="00AB5DF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D0">
        <w:rPr>
          <w:rFonts w:ascii="Times New Roman" w:hAnsi="Times New Roman" w:cs="Times New Roman"/>
          <w:sz w:val="24"/>
          <w:szCs w:val="24"/>
        </w:rPr>
        <w:t>В-третьих, принимая во внимание сжатие финансирования для российских компаний и тенденцию к снижению объема инвестиций в основной капитал и</w:t>
      </w:r>
      <w:r w:rsidR="00831772">
        <w:rPr>
          <w:rFonts w:ascii="Times New Roman" w:hAnsi="Times New Roman" w:cs="Times New Roman"/>
          <w:sz w:val="24"/>
          <w:szCs w:val="24"/>
        </w:rPr>
        <w:t xml:space="preserve"> </w:t>
      </w:r>
      <w:r w:rsidRPr="00D76FD0">
        <w:rPr>
          <w:rFonts w:ascii="Times New Roman" w:hAnsi="Times New Roman" w:cs="Times New Roman"/>
          <w:sz w:val="24"/>
          <w:szCs w:val="24"/>
        </w:rPr>
        <w:t xml:space="preserve">зеленых инвестиций, </w:t>
      </w:r>
      <w:r w:rsidR="00831772">
        <w:rPr>
          <w:rFonts w:ascii="Times New Roman" w:hAnsi="Times New Roman" w:cs="Times New Roman"/>
          <w:sz w:val="24"/>
          <w:szCs w:val="24"/>
        </w:rPr>
        <w:t>целесообразно</w:t>
      </w:r>
      <w:r w:rsidRPr="00D76FD0">
        <w:rPr>
          <w:rFonts w:ascii="Times New Roman" w:hAnsi="Times New Roman" w:cs="Times New Roman"/>
          <w:sz w:val="24"/>
          <w:szCs w:val="24"/>
        </w:rPr>
        <w:t xml:space="preserve"> расширени</w:t>
      </w:r>
      <w:r w:rsidR="00831772">
        <w:rPr>
          <w:rFonts w:ascii="Times New Roman" w:hAnsi="Times New Roman" w:cs="Times New Roman"/>
          <w:sz w:val="24"/>
          <w:szCs w:val="24"/>
        </w:rPr>
        <w:t>е и увеличение</w:t>
      </w:r>
      <w:r w:rsidRPr="00D76FD0">
        <w:rPr>
          <w:rFonts w:ascii="Times New Roman" w:hAnsi="Times New Roman" w:cs="Times New Roman"/>
          <w:sz w:val="24"/>
          <w:szCs w:val="24"/>
        </w:rPr>
        <w:t xml:space="preserve"> государственных зеленых и</w:t>
      </w:r>
      <w:r w:rsidR="00831772">
        <w:rPr>
          <w:rFonts w:ascii="Times New Roman" w:hAnsi="Times New Roman" w:cs="Times New Roman"/>
          <w:sz w:val="24"/>
          <w:szCs w:val="24"/>
        </w:rPr>
        <w:t xml:space="preserve">нвестиций, чтобы стимулировать </w:t>
      </w:r>
      <w:r w:rsidRPr="00D76FD0">
        <w:rPr>
          <w:rFonts w:ascii="Times New Roman" w:hAnsi="Times New Roman" w:cs="Times New Roman"/>
          <w:sz w:val="24"/>
          <w:szCs w:val="24"/>
        </w:rPr>
        <w:t xml:space="preserve">зеленые инвестиции компаний и своевременно достичь амбициозных планов, объявленных в 2020 году. </w:t>
      </w:r>
    </w:p>
    <w:p w:rsidR="00831772" w:rsidRPr="00ED6A6D" w:rsidRDefault="00AB5DFD" w:rsidP="00ED6A6D">
      <w:pPr>
        <w:pStyle w:val="a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D76FD0">
        <w:rPr>
          <w:rFonts w:ascii="Times New Roman" w:hAnsi="Times New Roman" w:cs="Times New Roman"/>
          <w:sz w:val="24"/>
          <w:szCs w:val="24"/>
        </w:rPr>
        <w:t xml:space="preserve">Путем активной разработки национальной политики в этой сфере необходимо улучшить существующую институциональную среду инвестирования, научно обосновать методы государственной поддержки, создать условия для расширения рыночного </w:t>
      </w:r>
      <w:r w:rsidR="00831772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Pr="00D76FD0">
        <w:rPr>
          <w:rFonts w:ascii="Times New Roman" w:hAnsi="Times New Roman" w:cs="Times New Roman"/>
          <w:sz w:val="24"/>
          <w:szCs w:val="24"/>
        </w:rPr>
        <w:t xml:space="preserve">зеленых инвестиций. Одновременно </w:t>
      </w:r>
      <w:r w:rsidR="00831772">
        <w:rPr>
          <w:rFonts w:ascii="Times New Roman" w:hAnsi="Times New Roman" w:cs="Times New Roman"/>
          <w:sz w:val="24"/>
          <w:szCs w:val="24"/>
        </w:rPr>
        <w:t>необходимо</w:t>
      </w:r>
      <w:r w:rsidRPr="00D76FD0">
        <w:rPr>
          <w:rFonts w:ascii="Times New Roman" w:hAnsi="Times New Roman" w:cs="Times New Roman"/>
          <w:sz w:val="24"/>
          <w:szCs w:val="24"/>
        </w:rPr>
        <w:t xml:space="preserve"> сформировать надлежащую стратегию модернизации экономики на новой технологической основе, способной обеспечить переход к устойчивой зеленой модели экономического роста, определив в ней сферы ответственности и государства и компаний.</w:t>
      </w:r>
      <w:r w:rsidR="00FB06F7">
        <w:rPr>
          <w:rFonts w:ascii="Times New Roman" w:hAnsi="Times New Roman" w:cs="Times New Roman"/>
          <w:sz w:val="24"/>
          <w:szCs w:val="24"/>
        </w:rPr>
        <w:t xml:space="preserve"> </w:t>
      </w:r>
      <w:r w:rsidR="00A36388" w:rsidRPr="00ED6A6D">
        <w:rPr>
          <w:rFonts w:ascii="Times New Roman" w:hAnsi="Times New Roman" w:cs="Times New Roman"/>
          <w:b/>
        </w:rPr>
        <w:t>Более подробно с результат</w:t>
      </w:r>
      <w:r w:rsidR="00FB06F7" w:rsidRPr="00ED6A6D">
        <w:rPr>
          <w:rFonts w:ascii="Times New Roman" w:hAnsi="Times New Roman" w:cs="Times New Roman"/>
          <w:b/>
        </w:rPr>
        <w:t xml:space="preserve">ами </w:t>
      </w:r>
      <w:r w:rsidR="00A36388" w:rsidRPr="00ED6A6D">
        <w:rPr>
          <w:rFonts w:ascii="Times New Roman" w:hAnsi="Times New Roman" w:cs="Times New Roman"/>
          <w:b/>
        </w:rPr>
        <w:t>исследования</w:t>
      </w:r>
      <w:r w:rsidR="00FB06F7" w:rsidRPr="00ED6A6D">
        <w:rPr>
          <w:rFonts w:ascii="Times New Roman" w:hAnsi="Times New Roman" w:cs="Times New Roman"/>
          <w:b/>
        </w:rPr>
        <w:t xml:space="preserve"> можно ознакомиться по ссылке:</w:t>
      </w:r>
      <w:r w:rsidR="00A36388" w:rsidRPr="00ED6A6D">
        <w:rPr>
          <w:rFonts w:ascii="Times New Roman" w:hAnsi="Times New Roman" w:cs="Times New Roman"/>
          <w:b/>
        </w:rPr>
        <w:t xml:space="preserve"> </w:t>
      </w:r>
      <w:hyperlink r:id="rId4" w:history="1">
        <w:r w:rsidR="00A36388" w:rsidRPr="00ED6A6D">
          <w:rPr>
            <w:rStyle w:val="a4"/>
            <w:rFonts w:ascii="Times New Roman" w:hAnsi="Times New Roman" w:cs="Times New Roman"/>
            <w:b/>
          </w:rPr>
          <w:t>https://doi.org/10.3390/jrfm16030145</w:t>
        </w:r>
      </w:hyperlink>
    </w:p>
    <w:sectPr w:rsidR="00831772" w:rsidRPr="00ED6A6D" w:rsidSect="00ED6A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E7"/>
    <w:rsid w:val="002A60EB"/>
    <w:rsid w:val="005D27E7"/>
    <w:rsid w:val="00624463"/>
    <w:rsid w:val="0069256E"/>
    <w:rsid w:val="006D4A76"/>
    <w:rsid w:val="00831772"/>
    <w:rsid w:val="00A36388"/>
    <w:rsid w:val="00AB5DFD"/>
    <w:rsid w:val="00D7051F"/>
    <w:rsid w:val="00ED6A6D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14E68-4088-46EE-ADF0-3927AD4F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opustermhighlight">
    <w:name w:val="scopustermhighlight"/>
    <w:basedOn w:val="a0"/>
    <w:rsid w:val="002A60EB"/>
  </w:style>
  <w:style w:type="paragraph" w:styleId="a3">
    <w:name w:val="List Paragraph"/>
    <w:basedOn w:val="a"/>
    <w:uiPriority w:val="34"/>
    <w:qFormat/>
    <w:rsid w:val="002A60EB"/>
    <w:pPr>
      <w:ind w:left="720"/>
      <w:contextualSpacing/>
    </w:pPr>
  </w:style>
  <w:style w:type="character" w:customStyle="1" w:styleId="cbff6b28b55f8023defaultfonthxmailstyle">
    <w:name w:val="cbff6b28b55f8023defaultfonthxmailstyle"/>
    <w:basedOn w:val="a0"/>
    <w:rsid w:val="002A60EB"/>
  </w:style>
  <w:style w:type="character" w:styleId="a4">
    <w:name w:val="Hyperlink"/>
    <w:basedOn w:val="a0"/>
    <w:uiPriority w:val="99"/>
    <w:semiHidden/>
    <w:unhideWhenUsed/>
    <w:rsid w:val="00A363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63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6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jrfm1603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2023-02-24T20:09:00Z</dcterms:created>
  <dcterms:modified xsi:type="dcterms:W3CDTF">2023-02-26T21:05:00Z</dcterms:modified>
</cp:coreProperties>
</file>