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F4F8" w14:textId="73501ECD" w:rsidR="002D48D1" w:rsidRPr="00C60B8B" w:rsidRDefault="003478F0" w:rsidP="004F265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27D">
        <w:rPr>
          <w:rFonts w:ascii="Times New Roman" w:eastAsia="Calibri" w:hAnsi="Times New Roman" w:cs="Times New Roman"/>
          <w:b/>
          <w:sz w:val="28"/>
          <w:szCs w:val="28"/>
        </w:rPr>
        <w:t>УДК 336.</w:t>
      </w:r>
    </w:p>
    <w:p w14:paraId="229618E3" w14:textId="77777777" w:rsidR="002D48D1" w:rsidRPr="00C60B8B" w:rsidRDefault="002D48D1" w:rsidP="003478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559F46" w14:textId="342E5EE5" w:rsidR="004F265F" w:rsidRPr="004F265F" w:rsidRDefault="004F265F" w:rsidP="00AE705B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Мусханова</w:t>
      </w:r>
      <w:proofErr w:type="spellEnd"/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Х.Ж.</w:t>
      </w:r>
    </w:p>
    <w:p w14:paraId="179C863E" w14:textId="51D70358" w:rsidR="003478F0" w:rsidRPr="004F265F" w:rsidRDefault="003478F0" w:rsidP="00AE705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F265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старший преподаватель</w:t>
      </w:r>
      <w:r w:rsidR="004F265F" w:rsidRPr="004F265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</w:t>
      </w:r>
      <w:r w:rsid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4F265F" w:rsidRPr="004F265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к.э.</w:t>
      </w:r>
      <w:proofErr w:type="gramStart"/>
      <w:r w:rsidR="004F265F" w:rsidRPr="004F265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proofErr w:type="gramEnd"/>
      <w:r w:rsidR="004F265F" w:rsidRPr="004F265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14:paraId="677E6CBE" w14:textId="77777777" w:rsidR="004E71CF" w:rsidRPr="004E71CF" w:rsidRDefault="004E71CF" w:rsidP="00AE705B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14:ligatures w14:val="none"/>
        </w:rPr>
      </w:pPr>
      <w:proofErr w:type="spellStart"/>
      <w:r w:rsidRPr="004E71CF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14:ligatures w14:val="none"/>
        </w:rPr>
        <w:t>Яндаров</w:t>
      </w:r>
      <w:proofErr w:type="spellEnd"/>
      <w:r w:rsidRPr="004E71CF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14:ligatures w14:val="none"/>
        </w:rPr>
        <w:t xml:space="preserve"> М.А., аспирант</w:t>
      </w:r>
    </w:p>
    <w:p w14:paraId="7EA05795" w14:textId="4610C3AD" w:rsidR="00AE705B" w:rsidRPr="00AE705B" w:rsidRDefault="00AE705B" w:rsidP="00AE705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705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Российская Федерация,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Грозный</w:t>
      </w:r>
    </w:p>
    <w:p w14:paraId="6AD6B151" w14:textId="77777777" w:rsidR="003478F0" w:rsidRPr="00AE705B" w:rsidRDefault="003478F0" w:rsidP="00AE705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E705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ФГБОУ </w:t>
      </w:r>
      <w:proofErr w:type="gramStart"/>
      <w:r w:rsidRPr="00AE705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ВО</w:t>
      </w:r>
      <w:proofErr w:type="gramEnd"/>
      <w:r w:rsidRPr="00AE705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«Чеченский государственный</w:t>
      </w:r>
    </w:p>
    <w:p w14:paraId="495D647D" w14:textId="77777777" w:rsidR="003478F0" w:rsidRPr="00AE705B" w:rsidRDefault="003478F0" w:rsidP="00AE705B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E705B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университет им. А.А. Кадырова»</w:t>
      </w:r>
    </w:p>
    <w:p w14:paraId="0C2F900E" w14:textId="765786E8" w:rsidR="00AE705B" w:rsidRPr="00001CB1" w:rsidRDefault="00AE705B" w:rsidP="00AE705B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proofErr w:type="spellStart"/>
      <w:r w:rsidRPr="00001CB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Тавбулатова</w:t>
      </w:r>
      <w:proofErr w:type="spellEnd"/>
      <w:r w:rsidRPr="00001CB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Э.А.</w:t>
      </w:r>
    </w:p>
    <w:p w14:paraId="4FE4EFD3" w14:textId="17B61226" w:rsidR="004E71CF" w:rsidRDefault="004E71CF" w:rsidP="00AE705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магистрант</w:t>
      </w:r>
    </w:p>
    <w:p w14:paraId="16B8FF78" w14:textId="2AAD3292" w:rsidR="00AE705B" w:rsidRPr="00AE705B" w:rsidRDefault="00AE705B" w:rsidP="00AE705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Российская Федерация, Грозный</w:t>
      </w:r>
    </w:p>
    <w:p w14:paraId="1CD13E9B" w14:textId="77777777" w:rsidR="004E71CF" w:rsidRPr="00AE705B" w:rsidRDefault="004E71CF" w:rsidP="00AE705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ФГБОУ </w:t>
      </w:r>
      <w:proofErr w:type="gramStart"/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ВО</w:t>
      </w:r>
      <w:proofErr w:type="gramEnd"/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«Грозненский государственный нефтяной технический университет им. М.Д. </w:t>
      </w:r>
      <w:proofErr w:type="spellStart"/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Миллионщикова</w:t>
      </w:r>
      <w:proofErr w:type="spellEnd"/>
      <w:r w:rsidRPr="00AE705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</w:p>
    <w:p w14:paraId="7DACDFC9" w14:textId="0F96FE3D" w:rsidR="003478F0" w:rsidRPr="00071E3F" w:rsidRDefault="003478F0" w:rsidP="00071E3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C120F90" w14:textId="20993598" w:rsidR="003478F0" w:rsidRPr="00AE705B" w:rsidRDefault="003478F0" w:rsidP="00236C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E705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proofErr w:type="gramStart"/>
      <w:r w:rsidRPr="00F8595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F859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Д</w:t>
      </w:r>
      <w:r w:rsidRPr="00F8595F">
        <w:rPr>
          <w:rFonts w:ascii="Times New Roman" w:eastAsia="Calibri" w:hAnsi="Times New Roman" w:cs="Times New Roman"/>
          <w:sz w:val="28"/>
          <w:szCs w:val="28"/>
        </w:rPr>
        <w:t>анн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F8595F">
        <w:rPr>
          <w:rFonts w:ascii="Times New Roman" w:eastAsia="Calibri" w:hAnsi="Times New Roman" w:cs="Times New Roman"/>
          <w:sz w:val="28"/>
          <w:szCs w:val="28"/>
        </w:rPr>
        <w:t>стать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я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посвящена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исследованию </w:t>
      </w:r>
      <w:r w:rsidRPr="00F8595F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ов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деятельности кредитных организаций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и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обеспечения экономической безопасности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банковской системы в целом.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Pr="00F8595F">
        <w:rPr>
          <w:rFonts w:ascii="Times New Roman" w:eastAsia="Calibri" w:hAnsi="Times New Roman" w:cs="Times New Roman"/>
          <w:sz w:val="28"/>
          <w:szCs w:val="28"/>
        </w:rPr>
        <w:t>корреляционн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ого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а, отражающего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связ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ь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показателей устойчивости банка и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доверия со стороны потребителей услуг кредитных организаций, показана взаимосвязь и взаимозависимость указанных показателей.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Сделаны выводы о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наличии связи </w:t>
      </w:r>
      <w:r w:rsidRPr="00F8595F">
        <w:rPr>
          <w:rFonts w:ascii="Times New Roman" w:eastAsia="Calibri" w:hAnsi="Times New Roman" w:cs="Times New Roman"/>
          <w:sz w:val="28"/>
          <w:szCs w:val="28"/>
        </w:rPr>
        <w:t>финансовой устойчивости банков через довери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е</w:t>
      </w:r>
      <w:r w:rsidRPr="00F8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>клиентов банка.</w:t>
      </w:r>
    </w:p>
    <w:p w14:paraId="0BEBF6BC" w14:textId="4C7B371E" w:rsidR="003478F0" w:rsidRPr="00F8595F" w:rsidRDefault="003478F0" w:rsidP="00236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5B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  <w:r w:rsidRPr="00AE705B">
        <w:rPr>
          <w:rFonts w:ascii="Times New Roman" w:eastAsia="Calibri" w:hAnsi="Times New Roman" w:cs="Times New Roman"/>
          <w:sz w:val="28"/>
          <w:szCs w:val="28"/>
        </w:rPr>
        <w:t>:</w:t>
      </w:r>
      <w:r w:rsidRPr="00BF35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595F" w:rsidRPr="00F8595F">
        <w:rPr>
          <w:rFonts w:ascii="Times New Roman" w:eastAsia="Calibri" w:hAnsi="Times New Roman" w:cs="Times New Roman"/>
          <w:sz w:val="28"/>
          <w:szCs w:val="28"/>
        </w:rPr>
        <w:t xml:space="preserve">российская </w:t>
      </w:r>
      <w:r w:rsidRPr="00F8595F">
        <w:rPr>
          <w:rFonts w:ascii="Times New Roman" w:eastAsia="Calibri" w:hAnsi="Times New Roman" w:cs="Times New Roman"/>
          <w:sz w:val="28"/>
          <w:szCs w:val="28"/>
        </w:rPr>
        <w:t>банковская систем</w:t>
      </w:r>
      <w:r w:rsidR="00F8595F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F8595F">
        <w:rPr>
          <w:rFonts w:ascii="Times New Roman" w:eastAsia="Calibri" w:hAnsi="Times New Roman" w:cs="Times New Roman"/>
          <w:sz w:val="28"/>
          <w:szCs w:val="28"/>
        </w:rPr>
        <w:t>устой</w:t>
      </w:r>
      <w:r w:rsidR="00F8595F">
        <w:rPr>
          <w:rFonts w:ascii="Times New Roman" w:eastAsia="Calibri" w:hAnsi="Times New Roman" w:cs="Times New Roman"/>
          <w:sz w:val="28"/>
          <w:szCs w:val="28"/>
        </w:rPr>
        <w:t>чивость, доверие клиента, вклады</w:t>
      </w:r>
      <w:r w:rsidRPr="00F8595F">
        <w:rPr>
          <w:rFonts w:ascii="Times New Roman" w:eastAsia="Calibri" w:hAnsi="Times New Roman" w:cs="Times New Roman"/>
          <w:sz w:val="28"/>
          <w:szCs w:val="28"/>
        </w:rPr>
        <w:t>, экономическая безопасность, корреляционный анализ.</w:t>
      </w:r>
    </w:p>
    <w:bookmarkEnd w:id="0"/>
    <w:p w14:paraId="2DFE4521" w14:textId="77777777" w:rsidR="00F8595F" w:rsidRDefault="00F8595F" w:rsidP="00071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B6ABE8" w14:textId="1CDC66DA" w:rsidR="00071E3F" w:rsidRPr="00B34F6C" w:rsidRDefault="00B34F6C" w:rsidP="00071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КОРРЕЛЯЦИОННЫЙ АНАЛИЗ ВЛИЯНИЯ ДОВЕРИЯ КЛИЕНТОВ БАНКА НА ЕГО ФИНАНСОВУЮ УСТОЙЧИВОСТЬ  </w:t>
      </w:r>
    </w:p>
    <w:p w14:paraId="4B5AB69B" w14:textId="77777777" w:rsidR="00071E3F" w:rsidRPr="00B34F6C" w:rsidRDefault="00071E3F" w:rsidP="007829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8016EF1" w14:textId="78CB1238" w:rsidR="00AE705B" w:rsidRPr="00B34F6C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Mushanova</w:t>
      </w:r>
      <w:proofErr w:type="spellEnd"/>
      <w:r w:rsidRPr="00B34F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B34F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G</w:t>
      </w:r>
      <w:r w:rsidRPr="00B34F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07A1EE9" w14:textId="319B03D3" w:rsidR="007829A4" w:rsidRPr="007829A4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senior</w:t>
      </w:r>
      <w:proofErr w:type="gramEnd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lecturer,</w:t>
      </w:r>
      <w:r w:rsidRPr="007829A4">
        <w:rPr>
          <w:lang w:val="en-US"/>
        </w:rPr>
        <w:t xml:space="preserve"> </w:t>
      </w:r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candidate of economic sciences</w:t>
      </w:r>
    </w:p>
    <w:p w14:paraId="2186DFDD" w14:textId="711ECEDF" w:rsidR="007829A4" w:rsidRPr="007A4109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Iandarov</w:t>
      </w:r>
      <w:proofErr w:type="spellEnd"/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M.A.</w:t>
      </w:r>
    </w:p>
    <w:p w14:paraId="1C299995" w14:textId="7DB2DBDF" w:rsidR="007829A4" w:rsidRPr="007829A4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graduate</w:t>
      </w:r>
      <w:proofErr w:type="gramEnd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student</w:t>
      </w:r>
    </w:p>
    <w:p w14:paraId="31661017" w14:textId="414F5982" w:rsidR="007829A4" w:rsidRPr="00E93E7A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93E7A">
        <w:rPr>
          <w:rFonts w:ascii="Times New Roman" w:eastAsia="Calibri" w:hAnsi="Times New Roman" w:cs="Times New Roman"/>
          <w:sz w:val="28"/>
          <w:szCs w:val="28"/>
          <w:lang w:val="en-US"/>
        </w:rPr>
        <w:t>Russian Federation, Grozny</w:t>
      </w:r>
    </w:p>
    <w:p w14:paraId="45F33A52" w14:textId="33FBDA8A" w:rsidR="007829A4" w:rsidRPr="007829A4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A.A. </w:t>
      </w:r>
      <w:proofErr w:type="spellStart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Kadyrov</w:t>
      </w:r>
      <w:proofErr w:type="spellEnd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Chechen State University</w:t>
      </w:r>
    </w:p>
    <w:p w14:paraId="1F1138A1" w14:textId="0FB964C6" w:rsidR="007829A4" w:rsidRPr="007A4109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Tavbulatova</w:t>
      </w:r>
      <w:proofErr w:type="spellEnd"/>
      <w:r w:rsidRPr="007A410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E.A.</w:t>
      </w:r>
    </w:p>
    <w:p w14:paraId="39612AE0" w14:textId="1A82B0DC" w:rsidR="000102A9" w:rsidRPr="007A4109" w:rsidRDefault="000102A9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109">
        <w:rPr>
          <w:rFonts w:ascii="Times New Roman" w:eastAsia="Calibri" w:hAnsi="Times New Roman" w:cs="Times New Roman"/>
          <w:sz w:val="28"/>
          <w:szCs w:val="28"/>
        </w:rPr>
        <w:t>master's</w:t>
      </w:r>
      <w:proofErr w:type="spellEnd"/>
      <w:r w:rsidRPr="007A4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4109">
        <w:rPr>
          <w:rFonts w:ascii="Times New Roman" w:eastAsia="Calibri" w:hAnsi="Times New Roman" w:cs="Times New Roman"/>
          <w:sz w:val="28"/>
          <w:szCs w:val="28"/>
        </w:rPr>
        <w:t>student</w:t>
      </w:r>
      <w:proofErr w:type="spellEnd"/>
    </w:p>
    <w:p w14:paraId="7A09F268" w14:textId="63E3D9D2" w:rsidR="00AE705B" w:rsidRPr="007829A4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Russian Federation, Grozny</w:t>
      </w:r>
    </w:p>
    <w:p w14:paraId="2EA42F9F" w14:textId="1B4CB24C" w:rsidR="00071E3F" w:rsidRPr="00071E3F" w:rsidRDefault="007829A4" w:rsidP="00071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Grozny State Oil Technical University named after M.D. </w:t>
      </w:r>
      <w:proofErr w:type="spellStart"/>
      <w:r w:rsidRPr="007829A4">
        <w:rPr>
          <w:rFonts w:ascii="Times New Roman" w:eastAsia="Calibri" w:hAnsi="Times New Roman" w:cs="Times New Roman"/>
          <w:sz w:val="28"/>
          <w:szCs w:val="28"/>
          <w:lang w:val="en-US"/>
        </w:rPr>
        <w:t>Millionshchikov</w:t>
      </w:r>
      <w:proofErr w:type="spellEnd"/>
    </w:p>
    <w:p w14:paraId="45B15B88" w14:textId="77777777" w:rsidR="007829A4" w:rsidRPr="007829A4" w:rsidRDefault="007829A4" w:rsidP="007829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011A41" w14:textId="26E30C54" w:rsidR="008E7ABD" w:rsidRDefault="003D57C3" w:rsidP="003478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B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Abstract</w:t>
      </w:r>
      <w:r w:rsidR="00DA0B0D" w:rsidRPr="00DA0B0D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3D55FA" w:rsidRPr="003D55F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E7ABD" w:rsidRPr="00DA0B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E7ABD" w:rsidRPr="008E7AB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This article is devoted to the study of the activities of credit institutions and ensuring the economic security of the Russian banking system as a whole. With the help of correlation analysis reflecting the relationship between the bank's </w:t>
      </w:r>
      <w:r w:rsidR="008E7ABD" w:rsidRPr="008E7AB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stability indicators and the trust of consumers of credit institutions' services, the relationship and interdependence of these indicators is shown. Conclusions are drawn about the existence of a link between the financial stability of banks through the trust of the bank's customers.</w:t>
      </w:r>
    </w:p>
    <w:p w14:paraId="668184AD" w14:textId="77777777" w:rsidR="003D55FA" w:rsidRDefault="003478F0" w:rsidP="003D55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B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Keyword</w:t>
      </w:r>
      <w:r w:rsidR="003D57C3" w:rsidRPr="00DA0B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3D55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 w:rsidRPr="003D5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3D55FA" w:rsidRPr="003D55FA">
        <w:rPr>
          <w:rFonts w:ascii="Times New Roman" w:eastAsia="Calibri" w:hAnsi="Times New Roman" w:cs="Times New Roman"/>
          <w:sz w:val="28"/>
          <w:szCs w:val="28"/>
          <w:lang w:val="en-US"/>
        </w:rPr>
        <w:t>Russian banking system, stability, customer trust, deposits, economic security, correlation analysis.</w:t>
      </w:r>
    </w:p>
    <w:p w14:paraId="4CA4176D" w14:textId="77777777" w:rsidR="00B34F6C" w:rsidRPr="00B34F6C" w:rsidRDefault="00B34F6C" w:rsidP="003D55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9EC27" w14:textId="77777777" w:rsidR="00B34F6C" w:rsidRPr="00B34F6C" w:rsidRDefault="00B34F6C" w:rsidP="00BB0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34F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CORRELATION ANALYSIS OF THE IMPACT OF THE BANK'S CUSTOMER TRUST ON ITS FINANCIAL STABILITY</w:t>
      </w:r>
    </w:p>
    <w:p w14:paraId="6BA24E56" w14:textId="77777777" w:rsidR="00B34F6C" w:rsidRPr="00B34F6C" w:rsidRDefault="00B34F6C" w:rsidP="00437F2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3E4FF55" w14:textId="5B225965" w:rsidR="00437F26" w:rsidRDefault="001D6B48" w:rsidP="00437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0F">
        <w:rPr>
          <w:rFonts w:ascii="Times New Roman" w:hAnsi="Times New Roman" w:cs="Times New Roman"/>
          <w:sz w:val="28"/>
          <w:szCs w:val="28"/>
        </w:rPr>
        <w:t xml:space="preserve">Вопрос финансовой </w:t>
      </w:r>
      <w:r w:rsidR="005215B7">
        <w:rPr>
          <w:rFonts w:ascii="Times New Roman" w:hAnsi="Times New Roman" w:cs="Times New Roman"/>
          <w:sz w:val="28"/>
          <w:szCs w:val="28"/>
        </w:rPr>
        <w:t>устойчивости</w:t>
      </w:r>
      <w:r w:rsidRPr="0027650F">
        <w:rPr>
          <w:rFonts w:ascii="Times New Roman" w:hAnsi="Times New Roman" w:cs="Times New Roman"/>
          <w:sz w:val="28"/>
          <w:szCs w:val="28"/>
        </w:rPr>
        <w:t xml:space="preserve"> по мере развития </w:t>
      </w:r>
      <w:r w:rsidR="00B808B2">
        <w:rPr>
          <w:rFonts w:ascii="Times New Roman" w:hAnsi="Times New Roman" w:cs="Times New Roman"/>
          <w:sz w:val="28"/>
          <w:szCs w:val="28"/>
        </w:rPr>
        <w:t xml:space="preserve">трансформационных </w:t>
      </w:r>
      <w:r w:rsidRPr="0027650F">
        <w:rPr>
          <w:rFonts w:ascii="Times New Roman" w:hAnsi="Times New Roman" w:cs="Times New Roman"/>
          <w:sz w:val="28"/>
          <w:szCs w:val="28"/>
        </w:rPr>
        <w:t>процессов</w:t>
      </w:r>
      <w:r w:rsidR="005215B7">
        <w:rPr>
          <w:rFonts w:ascii="Times New Roman" w:hAnsi="Times New Roman" w:cs="Times New Roman"/>
          <w:sz w:val="28"/>
          <w:szCs w:val="28"/>
        </w:rPr>
        <w:t xml:space="preserve"> в банковской системе</w:t>
      </w:r>
      <w:r w:rsidRPr="0027650F">
        <w:rPr>
          <w:rFonts w:ascii="Times New Roman" w:hAnsi="Times New Roman" w:cs="Times New Roman"/>
          <w:sz w:val="28"/>
          <w:szCs w:val="28"/>
        </w:rPr>
        <w:t xml:space="preserve"> всегда обусловлен ростом совокупных угроз и факторов, что объясняет актуал</w:t>
      </w:r>
      <w:r w:rsidR="00B808B2">
        <w:rPr>
          <w:rFonts w:ascii="Times New Roman" w:hAnsi="Times New Roman" w:cs="Times New Roman"/>
          <w:sz w:val="28"/>
          <w:szCs w:val="28"/>
        </w:rPr>
        <w:t>ьность исследования и дискуссий</w:t>
      </w:r>
      <w:r w:rsidRPr="0027650F">
        <w:rPr>
          <w:rFonts w:ascii="Times New Roman" w:hAnsi="Times New Roman" w:cs="Times New Roman"/>
          <w:sz w:val="28"/>
          <w:szCs w:val="28"/>
        </w:rPr>
        <w:t xml:space="preserve"> рассмотрения приоритетов развития финансовых организаций. </w:t>
      </w:r>
      <w:r w:rsidR="00855375" w:rsidRPr="0027650F">
        <w:rPr>
          <w:rFonts w:ascii="Times New Roman" w:hAnsi="Times New Roman" w:cs="Times New Roman"/>
          <w:sz w:val="28"/>
          <w:szCs w:val="28"/>
        </w:rPr>
        <w:t>Банковски</w:t>
      </w:r>
      <w:r w:rsidR="0027650F" w:rsidRPr="0027650F">
        <w:rPr>
          <w:rFonts w:ascii="Times New Roman" w:hAnsi="Times New Roman" w:cs="Times New Roman"/>
          <w:sz w:val="28"/>
          <w:szCs w:val="28"/>
        </w:rPr>
        <w:t>е организации</w:t>
      </w:r>
      <w:r w:rsidR="00855375" w:rsidRPr="0027650F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7F26">
        <w:rPr>
          <w:rFonts w:ascii="Times New Roman" w:hAnsi="Times New Roman" w:cs="Times New Roman"/>
          <w:sz w:val="28"/>
          <w:szCs w:val="28"/>
        </w:rPr>
        <w:t>ются</w:t>
      </w:r>
      <w:r w:rsidR="0027650F" w:rsidRPr="0027650F">
        <w:rPr>
          <w:rFonts w:ascii="Times New Roman" w:hAnsi="Times New Roman" w:cs="Times New Roman"/>
          <w:sz w:val="28"/>
          <w:szCs w:val="28"/>
        </w:rPr>
        <w:t xml:space="preserve"> важным элементом финансовой системы,</w:t>
      </w:r>
      <w:r w:rsidR="00437F26">
        <w:rPr>
          <w:rFonts w:ascii="Times New Roman" w:hAnsi="Times New Roman" w:cs="Times New Roman"/>
          <w:sz w:val="28"/>
          <w:szCs w:val="28"/>
        </w:rPr>
        <w:t xml:space="preserve"> так как играют определяющую роль в процессах финансового посредничества,</w:t>
      </w:r>
      <w:r w:rsidR="0027650F" w:rsidRPr="0027650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437F26">
        <w:rPr>
          <w:rFonts w:ascii="Times New Roman" w:hAnsi="Times New Roman" w:cs="Times New Roman"/>
          <w:sz w:val="28"/>
          <w:szCs w:val="28"/>
        </w:rPr>
        <w:t>ствуя</w:t>
      </w:r>
      <w:r w:rsidR="0027650F" w:rsidRPr="0027650F">
        <w:rPr>
          <w:rFonts w:ascii="Times New Roman" w:hAnsi="Times New Roman" w:cs="Times New Roman"/>
          <w:sz w:val="28"/>
          <w:szCs w:val="28"/>
        </w:rPr>
        <w:t xml:space="preserve"> эффективному функционированию всей системы.</w:t>
      </w:r>
      <w:r w:rsidR="00437F26">
        <w:rPr>
          <w:rFonts w:ascii="Times New Roman" w:hAnsi="Times New Roman" w:cs="Times New Roman"/>
          <w:sz w:val="28"/>
          <w:szCs w:val="28"/>
        </w:rPr>
        <w:t xml:space="preserve"> </w:t>
      </w:r>
      <w:r w:rsidR="00855375" w:rsidRPr="0027650F">
        <w:rPr>
          <w:rFonts w:ascii="Times New Roman" w:hAnsi="Times New Roman" w:cs="Times New Roman"/>
          <w:sz w:val="28"/>
          <w:szCs w:val="28"/>
        </w:rPr>
        <w:t>Гармонично развивающаяся национальная банковская система призвана обеспечить стабильн</w:t>
      </w:r>
      <w:r w:rsidR="00374A2D">
        <w:rPr>
          <w:rFonts w:ascii="Times New Roman" w:hAnsi="Times New Roman" w:cs="Times New Roman"/>
          <w:sz w:val="28"/>
          <w:szCs w:val="28"/>
        </w:rPr>
        <w:t>ость работы финансового сектора</w:t>
      </w:r>
      <w:r w:rsidR="00855375" w:rsidRPr="0027650F">
        <w:rPr>
          <w:rFonts w:ascii="Times New Roman" w:hAnsi="Times New Roman" w:cs="Times New Roman"/>
          <w:sz w:val="28"/>
          <w:szCs w:val="28"/>
        </w:rPr>
        <w:t xml:space="preserve"> </w:t>
      </w:r>
      <w:r w:rsidR="00374A2D" w:rsidRPr="00374A2D">
        <w:rPr>
          <w:rFonts w:ascii="Times New Roman" w:hAnsi="Times New Roman" w:cs="Times New Roman"/>
          <w:sz w:val="28"/>
          <w:szCs w:val="28"/>
        </w:rPr>
        <w:t>[1].</w:t>
      </w:r>
    </w:p>
    <w:p w14:paraId="10B265E3" w14:textId="70CD2D1F" w:rsidR="0027650F" w:rsidRPr="003478F0" w:rsidRDefault="0027650F" w:rsidP="002765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Трансформационные процессы, протекающие в экономике под влиянием </w:t>
      </w:r>
      <w:r w:rsidR="005215B7">
        <w:rPr>
          <w:rFonts w:ascii="Times New Roman" w:hAnsi="Times New Roman" w:cs="Times New Roman"/>
          <w:sz w:val="28"/>
          <w:szCs w:val="28"/>
        </w:rPr>
        <w:t>различного ряда факторов</w:t>
      </w:r>
      <w:r w:rsidR="007C0B4B">
        <w:rPr>
          <w:rFonts w:ascii="Times New Roman" w:hAnsi="Times New Roman" w:cs="Times New Roman"/>
          <w:sz w:val="28"/>
          <w:szCs w:val="28"/>
        </w:rPr>
        <w:t>,</w:t>
      </w:r>
      <w:r w:rsidR="00521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оказывают воздействие на развитие устойчивости банковской системы.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7650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7650F">
        <w:rPr>
          <w:rFonts w:ascii="Times New Roman" w:eastAsia="Calibri" w:hAnsi="Times New Roman" w:cs="Times New Roman"/>
          <w:sz w:val="28"/>
          <w:szCs w:val="28"/>
        </w:rPr>
        <w:t>стойчивость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7650F">
        <w:rPr>
          <w:rFonts w:ascii="Times New Roman" w:eastAsia="Calibri" w:hAnsi="Times New Roman" w:cs="Times New Roman"/>
          <w:sz w:val="28"/>
          <w:szCs w:val="28"/>
        </w:rPr>
        <w:t xml:space="preserve"> национальной банковской системы в условиях трансформационных преобразований»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понимается </w:t>
      </w:r>
      <w:r w:rsidRPr="0027650F">
        <w:rPr>
          <w:rFonts w:ascii="Times New Roman" w:eastAsia="Calibri" w:hAnsi="Times New Roman" w:cs="Times New Roman"/>
          <w:sz w:val="28"/>
          <w:szCs w:val="28"/>
        </w:rPr>
        <w:t>качественное внутреннее свойство динамично развивающейся системы в виде совокупности кредитно-финансовых организаций, позволяющее эффективно выполнять свое назначение в национальной экономике в виде трансмиссионной и транзакционной функций, абсорбируя влияние внешних факторов и нивелируя угрозы в условиях трансформационных преобразований, удовлетворяя запросы общества в оказании банковских услуг», что дало (углубило, расширило) приращение научных знаний</w:t>
      </w:r>
      <w:proofErr w:type="gramEnd"/>
      <w:r w:rsidRPr="00276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5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понятийно-категориального аппарата в области устойчивости </w:t>
      </w:r>
      <w:r w:rsidR="00C241CC">
        <w:rPr>
          <w:rFonts w:ascii="Times New Roman" w:eastAsia="Calibri" w:hAnsi="Times New Roman" w:cs="Times New Roman"/>
          <w:sz w:val="28"/>
          <w:szCs w:val="28"/>
        </w:rPr>
        <w:t>национальной банковской системы</w:t>
      </w:r>
      <w:r w:rsidR="002D500A" w:rsidRPr="002D500A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374A2D">
        <w:rPr>
          <w:rFonts w:ascii="Times New Roman" w:eastAsia="Calibri" w:hAnsi="Times New Roman" w:cs="Times New Roman"/>
          <w:sz w:val="28"/>
          <w:szCs w:val="28"/>
        </w:rPr>
        <w:t>2</w:t>
      </w:r>
      <w:r w:rsidR="002D500A" w:rsidRPr="003478F0">
        <w:rPr>
          <w:rFonts w:ascii="Times New Roman" w:eastAsia="Calibri" w:hAnsi="Times New Roman" w:cs="Times New Roman"/>
          <w:sz w:val="28"/>
          <w:szCs w:val="28"/>
        </w:rPr>
        <w:t>]</w:t>
      </w:r>
      <w:r w:rsidR="00C241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15841C" w14:textId="06575578" w:rsidR="00437F26" w:rsidRDefault="00437F26" w:rsidP="005215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Факторы воздействия на устойчивость банковской системы</w:t>
      </w:r>
      <w:r w:rsidR="00B72531">
        <w:rPr>
          <w:rFonts w:ascii="Times New Roman" w:eastAsia="Calibri" w:hAnsi="Times New Roman" w:cs="Times New Roman"/>
          <w:sz w:val="28"/>
          <w:szCs w:val="28"/>
        </w:rPr>
        <w:t xml:space="preserve"> можно классифицировать по множеству отдельных </w:t>
      </w:r>
      <w:r>
        <w:rPr>
          <w:rFonts w:ascii="Times New Roman" w:eastAsia="Calibri" w:hAnsi="Times New Roman" w:cs="Times New Roman"/>
          <w:sz w:val="28"/>
          <w:szCs w:val="28"/>
        </w:rPr>
        <w:t>признаков</w:t>
      </w:r>
      <w:r w:rsidR="00B72531">
        <w:rPr>
          <w:rFonts w:ascii="Times New Roman" w:eastAsia="Calibri" w:hAnsi="Times New Roman" w:cs="Times New Roman"/>
          <w:sz w:val="28"/>
          <w:szCs w:val="28"/>
        </w:rPr>
        <w:t>.</w:t>
      </w:r>
      <w:r w:rsidR="00992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531">
        <w:rPr>
          <w:rFonts w:ascii="Times New Roman" w:eastAsia="Calibri" w:hAnsi="Times New Roman" w:cs="Times New Roman"/>
          <w:sz w:val="28"/>
          <w:szCs w:val="28"/>
        </w:rPr>
        <w:t xml:space="preserve">Происходящие трансформации </w:t>
      </w:r>
      <w:r w:rsidR="00992374">
        <w:rPr>
          <w:rFonts w:ascii="Times New Roman" w:eastAsia="Calibri" w:hAnsi="Times New Roman" w:cs="Times New Roman"/>
          <w:sz w:val="28"/>
          <w:szCs w:val="28"/>
        </w:rPr>
        <w:t>привод</w:t>
      </w:r>
      <w:r w:rsidR="005215B7">
        <w:rPr>
          <w:rFonts w:ascii="Times New Roman" w:eastAsia="Calibri" w:hAnsi="Times New Roman" w:cs="Times New Roman"/>
          <w:sz w:val="28"/>
          <w:szCs w:val="28"/>
        </w:rPr>
        <w:t>я</w:t>
      </w:r>
      <w:r w:rsidR="00992374">
        <w:rPr>
          <w:rFonts w:ascii="Times New Roman" w:eastAsia="Calibri" w:hAnsi="Times New Roman" w:cs="Times New Roman"/>
          <w:sz w:val="28"/>
          <w:szCs w:val="28"/>
        </w:rPr>
        <w:t>т к изменения</w:t>
      </w:r>
      <w:r w:rsidR="002D41CF">
        <w:rPr>
          <w:rFonts w:ascii="Times New Roman" w:eastAsia="Calibri" w:hAnsi="Times New Roman" w:cs="Times New Roman"/>
          <w:sz w:val="28"/>
          <w:szCs w:val="28"/>
        </w:rPr>
        <w:t>м</w:t>
      </w:r>
      <w:r w:rsidR="00616D98">
        <w:rPr>
          <w:rFonts w:ascii="Times New Roman" w:eastAsia="Calibri" w:hAnsi="Times New Roman" w:cs="Times New Roman"/>
          <w:sz w:val="28"/>
          <w:szCs w:val="28"/>
        </w:rPr>
        <w:t>,</w:t>
      </w:r>
      <w:r w:rsidR="00992374">
        <w:rPr>
          <w:rFonts w:ascii="Times New Roman" w:eastAsia="Calibri" w:hAnsi="Times New Roman" w:cs="Times New Roman"/>
          <w:sz w:val="28"/>
          <w:szCs w:val="28"/>
        </w:rPr>
        <w:t xml:space="preserve"> как в деятельности отдельных организаци</w:t>
      </w:r>
      <w:r w:rsidR="002D41CF">
        <w:rPr>
          <w:rFonts w:ascii="Times New Roman" w:eastAsia="Calibri" w:hAnsi="Times New Roman" w:cs="Times New Roman"/>
          <w:sz w:val="28"/>
          <w:szCs w:val="28"/>
        </w:rPr>
        <w:t>й</w:t>
      </w:r>
      <w:r w:rsidR="00992374">
        <w:rPr>
          <w:rFonts w:ascii="Times New Roman" w:eastAsia="Calibri" w:hAnsi="Times New Roman" w:cs="Times New Roman"/>
          <w:sz w:val="28"/>
          <w:szCs w:val="28"/>
        </w:rPr>
        <w:t>, так</w:t>
      </w:r>
      <w:r w:rsidR="00374A2D">
        <w:rPr>
          <w:rFonts w:ascii="Times New Roman" w:eastAsia="Calibri" w:hAnsi="Times New Roman" w:cs="Times New Roman"/>
          <w:sz w:val="28"/>
          <w:szCs w:val="28"/>
        </w:rPr>
        <w:t xml:space="preserve"> и в структуре экономики страны </w:t>
      </w:r>
      <w:r w:rsidR="00374A2D" w:rsidRPr="00374A2D">
        <w:t xml:space="preserve"> </w:t>
      </w:r>
      <w:r w:rsidR="00374A2D" w:rsidRPr="00374A2D">
        <w:rPr>
          <w:rFonts w:ascii="Times New Roman" w:eastAsia="Calibri" w:hAnsi="Times New Roman" w:cs="Times New Roman"/>
          <w:sz w:val="28"/>
          <w:szCs w:val="28"/>
        </w:rPr>
        <w:t>[</w:t>
      </w:r>
      <w:r w:rsidR="00374A2D">
        <w:rPr>
          <w:rFonts w:ascii="Times New Roman" w:eastAsia="Calibri" w:hAnsi="Times New Roman" w:cs="Times New Roman"/>
          <w:sz w:val="28"/>
          <w:szCs w:val="28"/>
        </w:rPr>
        <w:t>3</w:t>
      </w:r>
      <w:r w:rsidR="00374A2D" w:rsidRPr="00374A2D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31016D90" w14:textId="2B688339" w:rsidR="005E139A" w:rsidRDefault="00992374" w:rsidP="005E13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Стремительные трансформационные процесс</w:t>
      </w:r>
      <w:r w:rsidR="002D41CF">
        <w:rPr>
          <w:rFonts w:ascii="Times New Roman" w:eastAsia="Calibri" w:hAnsi="Times New Roman" w:cs="Times New Roman"/>
          <w:sz w:val="28"/>
          <w:szCs w:val="28"/>
        </w:rPr>
        <w:t>ы</w:t>
      </w:r>
      <w:r w:rsidR="00437F26">
        <w:rPr>
          <w:rFonts w:ascii="Times New Roman" w:eastAsia="Calibri" w:hAnsi="Times New Roman" w:cs="Times New Roman"/>
          <w:sz w:val="28"/>
          <w:szCs w:val="28"/>
        </w:rPr>
        <w:t>, их характер и глубина</w:t>
      </w:r>
      <w:r w:rsidR="002D4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F26">
        <w:rPr>
          <w:rFonts w:ascii="Times New Roman" w:eastAsia="Calibri" w:hAnsi="Times New Roman" w:cs="Times New Roman"/>
          <w:sz w:val="28"/>
          <w:szCs w:val="28"/>
        </w:rPr>
        <w:t xml:space="preserve">требуют детального исследования, для </w:t>
      </w:r>
      <w:r w:rsidR="007D195C">
        <w:rPr>
          <w:rFonts w:ascii="Times New Roman" w:eastAsia="Calibri" w:hAnsi="Times New Roman" w:cs="Times New Roman"/>
          <w:sz w:val="28"/>
          <w:szCs w:val="28"/>
        </w:rPr>
        <w:t xml:space="preserve">разработки предупредительных и сглаживающих механизмов, </w:t>
      </w:r>
      <w:r w:rsidR="00437F26">
        <w:rPr>
          <w:rFonts w:ascii="Times New Roman" w:eastAsia="Calibri" w:hAnsi="Times New Roman" w:cs="Times New Roman"/>
          <w:sz w:val="28"/>
          <w:szCs w:val="28"/>
        </w:rPr>
        <w:t>предотвращ</w:t>
      </w:r>
      <w:r w:rsidR="007D195C">
        <w:rPr>
          <w:rFonts w:ascii="Times New Roman" w:eastAsia="Calibri" w:hAnsi="Times New Roman" w:cs="Times New Roman"/>
          <w:sz w:val="28"/>
          <w:szCs w:val="28"/>
        </w:rPr>
        <w:t>ающих</w:t>
      </w:r>
      <w:r w:rsidR="00437F26">
        <w:rPr>
          <w:rFonts w:ascii="Times New Roman" w:eastAsia="Calibri" w:hAnsi="Times New Roman" w:cs="Times New Roman"/>
          <w:sz w:val="28"/>
          <w:szCs w:val="28"/>
        </w:rPr>
        <w:t xml:space="preserve"> негативны</w:t>
      </w:r>
      <w:r w:rsidR="007D195C">
        <w:rPr>
          <w:rFonts w:ascii="Times New Roman" w:eastAsia="Calibri" w:hAnsi="Times New Roman" w:cs="Times New Roman"/>
          <w:sz w:val="28"/>
          <w:szCs w:val="28"/>
        </w:rPr>
        <w:t>е</w:t>
      </w:r>
      <w:r w:rsidR="00437F26">
        <w:rPr>
          <w:rFonts w:ascii="Times New Roman" w:eastAsia="Calibri" w:hAnsi="Times New Roman" w:cs="Times New Roman"/>
          <w:sz w:val="28"/>
          <w:szCs w:val="28"/>
        </w:rPr>
        <w:t xml:space="preserve"> последстви</w:t>
      </w:r>
      <w:r w:rsidR="007D195C">
        <w:rPr>
          <w:rFonts w:ascii="Times New Roman" w:eastAsia="Calibri" w:hAnsi="Times New Roman" w:cs="Times New Roman"/>
          <w:sz w:val="28"/>
          <w:szCs w:val="28"/>
        </w:rPr>
        <w:t>я трансформаций</w:t>
      </w:r>
      <w:r w:rsidR="00437F26">
        <w:rPr>
          <w:rFonts w:ascii="Times New Roman" w:eastAsia="Calibri" w:hAnsi="Times New Roman" w:cs="Times New Roman"/>
          <w:sz w:val="28"/>
          <w:szCs w:val="28"/>
        </w:rPr>
        <w:t>, прогнозир</w:t>
      </w:r>
      <w:r w:rsidR="007D195C">
        <w:rPr>
          <w:rFonts w:ascii="Times New Roman" w:eastAsia="Calibri" w:hAnsi="Times New Roman" w:cs="Times New Roman"/>
          <w:sz w:val="28"/>
          <w:szCs w:val="28"/>
        </w:rPr>
        <w:t>ующих</w:t>
      </w:r>
      <w:r w:rsidR="00437F26">
        <w:rPr>
          <w:rFonts w:ascii="Times New Roman" w:eastAsia="Calibri" w:hAnsi="Times New Roman" w:cs="Times New Roman"/>
          <w:sz w:val="28"/>
          <w:szCs w:val="28"/>
        </w:rPr>
        <w:t xml:space="preserve"> тенденци</w:t>
      </w:r>
      <w:r w:rsidR="007D195C">
        <w:rPr>
          <w:rFonts w:ascii="Times New Roman" w:eastAsia="Calibri" w:hAnsi="Times New Roman" w:cs="Times New Roman"/>
          <w:sz w:val="28"/>
          <w:szCs w:val="28"/>
        </w:rPr>
        <w:t>и</w:t>
      </w:r>
      <w:r w:rsidR="00437F26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="00616D98">
        <w:rPr>
          <w:rFonts w:ascii="Times New Roman" w:eastAsia="Calibri" w:hAnsi="Times New Roman" w:cs="Times New Roman"/>
          <w:sz w:val="28"/>
          <w:szCs w:val="28"/>
        </w:rPr>
        <w:t xml:space="preserve">банковской системы </w:t>
      </w:r>
      <w:r w:rsidR="00616D98" w:rsidRPr="00616D98">
        <w:rPr>
          <w:rFonts w:ascii="Times New Roman" w:eastAsia="Calibri" w:hAnsi="Times New Roman" w:cs="Times New Roman"/>
          <w:sz w:val="28"/>
          <w:szCs w:val="28"/>
        </w:rPr>
        <w:t>[</w:t>
      </w:r>
      <w:r w:rsidR="00374A2D">
        <w:rPr>
          <w:rFonts w:ascii="Times New Roman" w:eastAsia="Calibri" w:hAnsi="Times New Roman" w:cs="Times New Roman"/>
          <w:sz w:val="28"/>
          <w:szCs w:val="28"/>
        </w:rPr>
        <w:t>8</w:t>
      </w:r>
      <w:r w:rsidR="00616D98" w:rsidRPr="00616D98">
        <w:rPr>
          <w:rFonts w:ascii="Times New Roman" w:eastAsia="Calibri" w:hAnsi="Times New Roman" w:cs="Times New Roman"/>
          <w:sz w:val="28"/>
          <w:szCs w:val="28"/>
        </w:rPr>
        <w:t>]</w:t>
      </w:r>
      <w:r w:rsidR="00616D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4B626B" w14:textId="7640B4C2" w:rsidR="005215B7" w:rsidRDefault="009A1870" w:rsidP="005E13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Факторы, положительно</w:t>
      </w:r>
      <w:r w:rsidR="005E139A">
        <w:rPr>
          <w:rFonts w:ascii="Times New Roman" w:eastAsia="Calibri" w:hAnsi="Times New Roman" w:cs="Times New Roman"/>
          <w:sz w:val="28"/>
          <w:szCs w:val="28"/>
        </w:rPr>
        <w:t xml:space="preserve"> влияющие на банки, </w:t>
      </w:r>
      <w:r w:rsidR="009A7CE7">
        <w:rPr>
          <w:rFonts w:ascii="Times New Roman" w:eastAsia="Calibri" w:hAnsi="Times New Roman" w:cs="Times New Roman"/>
          <w:sz w:val="28"/>
          <w:szCs w:val="28"/>
        </w:rPr>
        <w:t xml:space="preserve">расширяют </w:t>
      </w:r>
      <w:r w:rsidR="005E139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9A7CE7">
        <w:rPr>
          <w:rFonts w:ascii="Times New Roman" w:eastAsia="Calibri" w:hAnsi="Times New Roman" w:cs="Times New Roman"/>
          <w:sz w:val="28"/>
          <w:szCs w:val="28"/>
        </w:rPr>
        <w:t>производственные возможности</w:t>
      </w:r>
      <w:r w:rsidR="005215B7">
        <w:rPr>
          <w:rFonts w:ascii="Times New Roman" w:eastAsia="Calibri" w:hAnsi="Times New Roman" w:cs="Times New Roman"/>
          <w:sz w:val="28"/>
          <w:szCs w:val="28"/>
        </w:rPr>
        <w:t>, что как следствие ведет к увеличению потребительского спроса, повышению уровня сервиса. Таки</w:t>
      </w:r>
      <w:r w:rsidR="005E139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5215B7">
        <w:rPr>
          <w:rFonts w:ascii="Times New Roman" w:eastAsia="Calibri" w:hAnsi="Times New Roman" w:cs="Times New Roman"/>
          <w:sz w:val="28"/>
          <w:szCs w:val="28"/>
        </w:rPr>
        <w:t>факторы определяют эффективность работы банков, их сво</w:t>
      </w:r>
      <w:r w:rsidR="00374A2D">
        <w:rPr>
          <w:rFonts w:ascii="Times New Roman" w:eastAsia="Calibri" w:hAnsi="Times New Roman" w:cs="Times New Roman"/>
          <w:sz w:val="28"/>
          <w:szCs w:val="28"/>
        </w:rPr>
        <w:t>йства устойчивости и надежности</w:t>
      </w:r>
      <w:r w:rsidR="005E1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2D" w:rsidRPr="00374A2D">
        <w:rPr>
          <w:rFonts w:ascii="Times New Roman" w:eastAsia="Calibri" w:hAnsi="Times New Roman" w:cs="Times New Roman"/>
          <w:sz w:val="28"/>
          <w:szCs w:val="28"/>
        </w:rPr>
        <w:t>[</w:t>
      </w:r>
      <w:r w:rsidR="00374A2D">
        <w:rPr>
          <w:rFonts w:ascii="Times New Roman" w:eastAsia="Calibri" w:hAnsi="Times New Roman" w:cs="Times New Roman"/>
          <w:sz w:val="28"/>
          <w:szCs w:val="28"/>
        </w:rPr>
        <w:t>3</w:t>
      </w:r>
      <w:r w:rsidR="00374A2D" w:rsidRPr="00374A2D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1221AA74" w14:textId="2014710F" w:rsidR="00616F6B" w:rsidRDefault="005E139A" w:rsidP="00616F6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Цикличность развития экономики, определяющаяся экономическими кризисами</w:t>
      </w:r>
      <w:r w:rsidR="005C14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 многом подрывае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доверие к банковской системе с позиции потенциального клиента. Факторы отрицательного воздействия создают предпосылки нарушения </w:t>
      </w:r>
      <w:r w:rsidR="007A7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экономической безопасности, что приводит к дисбалансу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финансовой устойчивости банков, </w:t>
      </w:r>
      <w:r w:rsidR="007A7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нарушение устойчивости отдельного банковского института </w:t>
      </w:r>
      <w:r w:rsidR="00F622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негативные импульсы в устойчиво</w:t>
      </w:r>
      <w:r w:rsidR="000C6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функционировани</w:t>
      </w:r>
      <w:r w:rsidR="000C6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развити</w:t>
      </w:r>
      <w:r w:rsidR="000C6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целостной 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системы [2</w:t>
      </w:r>
      <w:r w:rsidR="00374A2D" w:rsidRP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  <w:r w:rsidRPr="0061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795E842" w14:textId="6A11A93C" w:rsidR="00F33D0C" w:rsidRDefault="00616F6B" w:rsidP="00F33D0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Кризисные явления, происходящие в экономике, обостряют доверительные отношения банка с потребителями банковских услуг, что приводит к деконструкции «сомнительных»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бизнес-моделей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Определяющим условием устойчиво развивающейся банковской модели является доверие клиента. Доверие к деятельности банка является фундаментальной базой банковской системы в целом. Устойчивость отдельной кредитной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организации находится в прямой взаимосвяз</w:t>
      </w:r>
      <w:r w:rsidR="00BB09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фактором доверия вкладчиков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500A" w:rsidRPr="002D5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D500A" w:rsidRPr="002D5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BB09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D500A" w:rsidRPr="002D5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Следовательно, приоритетным направлением в развитии банковского сектора является сохранение финансовой устойчивости за счет доверия потребителей.</w:t>
      </w:r>
    </w:p>
    <w:p w14:paraId="2210183F" w14:textId="24CBC01D" w:rsidR="00616F6B" w:rsidRPr="00616F6B" w:rsidRDefault="00616F6B" w:rsidP="00F33D0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6F6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C12F9" wp14:editId="2429C986">
                <wp:simplePos x="0" y="0"/>
                <wp:positionH relativeFrom="column">
                  <wp:posOffset>2515</wp:posOffset>
                </wp:positionH>
                <wp:positionV relativeFrom="paragraph">
                  <wp:posOffset>304192</wp:posOffset>
                </wp:positionV>
                <wp:extent cx="6104428" cy="895145"/>
                <wp:effectExtent l="0" t="0" r="10795" b="1968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428" cy="895145"/>
                          <a:chOff x="0" y="0"/>
                          <a:chExt cx="5991225" cy="876300"/>
                        </a:xfrm>
                      </wpg:grpSpPr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0" y="0"/>
                            <a:ext cx="1952625" cy="876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98975" w14:textId="77777777" w:rsidR="00616F6B" w:rsidRPr="007D424B" w:rsidRDefault="00616F6B" w:rsidP="00616F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6F6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Экономическая безопасность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2171700" y="9525"/>
                            <a:ext cx="1838325" cy="847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9B32BC" w14:textId="77777777" w:rsidR="00616F6B" w:rsidRPr="007D424B" w:rsidRDefault="00616F6B" w:rsidP="00616F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6F6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Устойчивость банковской системы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4219575" y="0"/>
                            <a:ext cx="1771650" cy="8667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FFD997" w14:textId="77777777" w:rsidR="00616F6B" w:rsidRPr="007D424B" w:rsidRDefault="00616F6B" w:rsidP="00616F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6F6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Доверие потребителей банковских услуг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трелка вправо 6"/>
                        <wps:cNvSpPr/>
                        <wps:spPr>
                          <a:xfrm>
                            <a:off x="1962150" y="381000"/>
                            <a:ext cx="190500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право 7"/>
                        <wps:cNvSpPr/>
                        <wps:spPr>
                          <a:xfrm>
                            <a:off x="4029075" y="361950"/>
                            <a:ext cx="190500" cy="2286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2pt;margin-top:23.95pt;width:480.65pt;height:70.5pt;z-index:251659264;mso-width-relative:margin;mso-height-relative:margin" coordsize="59912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">
                <v:roundrect id="Скругленный прямоугольник 3" o:spid="_x0000_s1027" style="position:absolute;width:19526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HsUA&#10;AADaAAAADwAAAGRycy9kb3ducmV2LnhtbESPT2vCQBTE74LfYXmCN93YgkjqKkUNFFrwT3vw+Mw+&#10;N6nZt2l2jfHbd4VCj8PM/IaZLztbiZYaXzpWMBknIIhzp0s2Cr4+s9EMhA/IGivHpOBOHpaLfm+O&#10;qXY33lN7CEZECPsUFRQh1KmUPi/Ioh+7mjh6Z9dYDFE2RuoGbxFuK/mUJFNpseS4UGBNq4Lyy+Fq&#10;Ffy8m2x93sxwd8o+Vptja7aX751Sw0H3+gIiUBf+w3/tN63gGR5X4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R0exQAAANoAAAAPAAAAAAAAAAAAAAAAAJgCAABkcnMv&#10;ZG93bnJldi54bWxQSwUGAAAAAAQABAD1AAAAigMAAAAA&#10;" fillcolor="white [3201]" strokecolor="#4472c4 [3204]" strokeweight="1pt">
                  <v:stroke joinstyle="miter"/>
                  <v:textbox>
                    <w:txbxContent>
                      <w:p w14:paraId="00698975" w14:textId="77777777" w:rsidR="00616F6B" w:rsidRPr="007D424B" w:rsidRDefault="00616F6B" w:rsidP="00616F6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6F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Экономическая безопасность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4" o:spid="_x0000_s1028" style="position:absolute;left:21717;top:95;width:18383;height:8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yhcQA&#10;AADaAAAADwAAAGRycy9kb3ducmV2LnhtbESPQUsDMRSE74L/IbxCbzbbIrWsTYuVCnoo1bTg9ZE8&#10;d1c3L0uSbrf/vhEEj8PMfMMs14NrRU8hNp4VTCcFCGLjbcOVguPh5W4BIiZki61nUnChCOvV7c0S&#10;S+vP/EG9TpXIEI4lKqhT6kopo6nJYZz4jjh7Xz44TFmGStqA5wx3rZwVxVw6bDgv1NjRc03mR5+c&#10;gu3b5lPrvdHfhdm/990uuMXmQanxaHh6BJFoSP/hv/arVXAPv1fy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8oXEAAAA2gAAAA8AAAAAAAAAAAAAAAAAmAIAAGRycy9k&#10;b3ducmV2LnhtbFBLBQYAAAAABAAEAPUAAACJAwAAAAA=&#10;" fillcolor="window" strokecolor="#5b9bd5" strokeweight="1pt">
                  <v:stroke joinstyle="miter"/>
                  <v:textbox>
                    <w:txbxContent>
                      <w:p w14:paraId="659B32BC" w14:textId="77777777" w:rsidR="00616F6B" w:rsidRPr="007D424B" w:rsidRDefault="00616F6B" w:rsidP="00616F6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6F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Устойчивость банковской системы</w:t>
                        </w:r>
                      </w:p>
                    </w:txbxContent>
                  </v:textbox>
                </v:roundrect>
                <v:roundrect id="Скругленный прямоугольник 5" o:spid="_x0000_s1029" style="position:absolute;left:42195;width:17717;height:8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XHsQA&#10;AADaAAAADwAAAGRycy9kb3ducmV2LnhtbESPQUsDMRSE74L/IbxCbzbbgrWsTYuVCnoo1bTg9ZE8&#10;d1c3L0uSbrf/vhEEj8PMfMMs14NrRU8hNp4VTCcFCGLjbcOVguPh5W4BIiZki61nUnChCOvV7c0S&#10;S+vP/EG9TpXIEI4lKqhT6kopo6nJYZz4jjh7Xz44TFmGStqA5wx3rZwVxVw6bDgv1NjRc03mR5+c&#10;gu3b5lPrvdHfhdm/990uuMXmQanxaHh6BJFoSP/hv/arVXAPv1fy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Vx7EAAAA2gAAAA8AAAAAAAAAAAAAAAAAmAIAAGRycy9k&#10;b3ducmV2LnhtbFBLBQYAAAAABAAEAPUAAACJAwAAAAA=&#10;" fillcolor="window" strokecolor="#5b9bd5" strokeweight="1pt">
                  <v:stroke joinstyle="miter"/>
                  <v:textbox>
                    <w:txbxContent>
                      <w:p w14:paraId="3BFFD997" w14:textId="77777777" w:rsidR="00616F6B" w:rsidRPr="007D424B" w:rsidRDefault="00616F6B" w:rsidP="00616F6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6F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Доверие потребителей банковских услуг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6" o:spid="_x0000_s1030" type="#_x0000_t13" style="position:absolute;left:19621;top:3810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L0cIA&#10;AADaAAAADwAAAGRycy9kb3ducmV2LnhtbESPzWrDMBCE74G+g9hCLqGRk4NJ3cghNBhC6SVuL70t&#10;1tYytlbGkmP37StDocdhfj7meJptJ+40+Maxgt02AUFcOd1wreDzo3g6gPABWWPnmBT8kIdT/rA6&#10;YqbdxDe6l6EWcYR9hgpMCH0mpa8MWfRb1xNH79sNFkOUQy31gFMct53cJ0kqLTYcCQZ7ejVUteVo&#10;FZSbyxsWunm+mPPhfeR287XA1fpxPr+ACDSH//Bf+6oVpLBc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0vRwgAAANoAAAAPAAAAAAAAAAAAAAAAAJgCAABkcnMvZG93&#10;bnJldi54bWxQSwUGAAAAAAQABAD1AAAAhwMAAAAA&#10;" adj="10800" fillcolor="white [3201]" strokecolor="#4472c4 [3204]" strokeweight="1pt"/>
                <v:shape id="Стрелка вправо 7" o:spid="_x0000_s1031" type="#_x0000_t13" style="position:absolute;left:40290;top:3619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4M8MA&#10;AADaAAAADwAAAGRycy9kb3ducmV2LnhtbESPT4vCMBTE7wt+h/AEL7KmCu5K1ygiCIIH/1Rhj4/m&#10;bVNsXkoTtfrpjSDscZiZ3zDTeWsrcaXGl44VDAcJCOLc6ZILBcds9TkB4QOyxsoxKbiTh/ms8zHF&#10;VLsb7+l6CIWIEPYpKjAh1KmUPjdk0Q9cTRy9P9dYDFE2hdQN3iLcVnKUJF/SYslxwWBNS0P5+XCx&#10;CsbD8vfhuD/Z+Xr7MKf+5pxtN0r1uu3iB0SgNvyH3+21VvANryvx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k4M8MAAADaAAAADwAAAAAAAAAAAAAAAACYAgAAZHJzL2Rv&#10;d25yZXYueG1sUEsFBgAAAAAEAAQA9QAAAIgDAAAAAA==&#10;" adj="10800" fillcolor="window" strokecolor="#5b9bd5" strokeweight="1pt"/>
              </v:group>
            </w:pict>
          </mc:Fallback>
        </mc:AlternateContent>
      </w:r>
    </w:p>
    <w:p w14:paraId="004D9B11" w14:textId="3530887F" w:rsidR="005215B7" w:rsidRDefault="005215B7" w:rsidP="002765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734BE" w14:textId="77777777" w:rsidR="00855375" w:rsidRPr="0027650F" w:rsidRDefault="00855375">
      <w:pPr>
        <w:rPr>
          <w:rFonts w:ascii="Times New Roman" w:hAnsi="Times New Roman" w:cs="Times New Roman"/>
          <w:sz w:val="28"/>
          <w:szCs w:val="28"/>
        </w:rPr>
      </w:pPr>
    </w:p>
    <w:p w14:paraId="65EB3A61" w14:textId="01F3738C" w:rsidR="00F52D65" w:rsidRDefault="00F52D65">
      <w:pPr>
        <w:rPr>
          <w:rFonts w:ascii="Times New Roman" w:hAnsi="Times New Roman" w:cs="Times New Roman"/>
          <w:sz w:val="28"/>
          <w:szCs w:val="28"/>
        </w:rPr>
      </w:pPr>
    </w:p>
    <w:p w14:paraId="14412B2C" w14:textId="673AE1E4" w:rsidR="009D69AE" w:rsidRDefault="009D69AE">
      <w:pPr>
        <w:rPr>
          <w:rFonts w:ascii="Times New Roman" w:hAnsi="Times New Roman" w:cs="Times New Roman"/>
          <w:sz w:val="28"/>
          <w:szCs w:val="28"/>
        </w:rPr>
      </w:pPr>
    </w:p>
    <w:p w14:paraId="58F8D2F9" w14:textId="74225C0F" w:rsidR="009D69AE" w:rsidRDefault="00312693" w:rsidP="009D6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69AE">
        <w:rPr>
          <w:rFonts w:ascii="Times New Roman" w:hAnsi="Times New Roman" w:cs="Times New Roman"/>
          <w:sz w:val="28"/>
          <w:szCs w:val="28"/>
        </w:rPr>
        <w:t xml:space="preserve">начале 2023 исследовательский центр НАФИ выявил уровень доверия к банкам, что составило 82%. В сравнении с результатами прошедших лет данная цифра является рекордной, несмотря на </w:t>
      </w:r>
      <w:r w:rsidR="00120896">
        <w:rPr>
          <w:rFonts w:ascii="Times New Roman" w:hAnsi="Times New Roman" w:cs="Times New Roman"/>
          <w:sz w:val="28"/>
          <w:szCs w:val="28"/>
        </w:rPr>
        <w:t xml:space="preserve">антироссийское </w:t>
      </w:r>
      <w:proofErr w:type="spellStart"/>
      <w:r w:rsidR="009D69AE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9D69AE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120896">
        <w:rPr>
          <w:rFonts w:ascii="Times New Roman" w:hAnsi="Times New Roman" w:cs="Times New Roman"/>
          <w:sz w:val="28"/>
          <w:szCs w:val="28"/>
        </w:rPr>
        <w:t>,</w:t>
      </w:r>
      <w:r w:rsidR="009D69AE">
        <w:rPr>
          <w:rFonts w:ascii="Times New Roman" w:hAnsi="Times New Roman" w:cs="Times New Roman"/>
          <w:sz w:val="28"/>
          <w:szCs w:val="28"/>
        </w:rPr>
        <w:t xml:space="preserve"> банки продолжают свою деятельность, смело адаптируясь к жестким блокирующим условиям</w:t>
      </w:r>
      <w:r w:rsidR="001208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9EDC6" w14:textId="2F69AA55" w:rsidR="00120896" w:rsidRDefault="00120896" w:rsidP="00120896">
      <w:pPr>
        <w:tabs>
          <w:tab w:val="left" w:pos="36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аналитический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холдинг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9C00DA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на выявление уровня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доверия граждан, пользующихся банковскими услугами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исунок 1). Согласно данному исследованию лидерами рейтинга доверия являются </w:t>
      </w:r>
      <w:r w:rsidRPr="00D80F65">
        <w:rPr>
          <w:rFonts w:ascii="Times New Roman" w:hAnsi="Times New Roman" w:cs="Times New Roman"/>
          <w:color w:val="000000" w:themeColor="text1"/>
          <w:sz w:val="28"/>
          <w:szCs w:val="28"/>
        </w:rPr>
        <w:t>ПАО «Сбербанк»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80F65">
        <w:rPr>
          <w:rFonts w:ascii="Times New Roman" w:hAnsi="Times New Roman" w:cs="Times New Roman"/>
          <w:color w:val="000000" w:themeColor="text1"/>
          <w:sz w:val="28"/>
          <w:szCs w:val="28"/>
        </w:rPr>
        <w:t>ВТБ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 этом стоит отметить факт, что оба банка являются банками с государственным участием. Определенно банки с государственным уч</w:t>
      </w:r>
      <w:r w:rsidR="00B314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астием внушают доверие потреб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ителей</w:t>
      </w:r>
      <w:r w:rsidR="00B314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банковских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информируя о надежности и финансовой устойчивости.</w:t>
      </w:r>
    </w:p>
    <w:p w14:paraId="3AE6B210" w14:textId="77777777" w:rsidR="00120896" w:rsidRDefault="00120896" w:rsidP="009D6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23C42" w14:textId="45850E38" w:rsidR="00F33D0C" w:rsidRDefault="00F33D0C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33D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9C47EAA" wp14:editId="55C21F06">
            <wp:extent cx="5705856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A0E1415" w14:textId="0B9CD0A3" w:rsidR="00F33D0C" w:rsidRPr="003478F0" w:rsidRDefault="00F33D0C" w:rsidP="00F33D0C">
      <w:pPr>
        <w:tabs>
          <w:tab w:val="left" w:pos="3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Индексы доверия клиентов банка (%)</w:t>
      </w:r>
      <w:r w:rsidR="002D500A" w:rsidRPr="003478F0">
        <w:rPr>
          <w:rFonts w:ascii="Times New Roman" w:hAnsi="Times New Roman" w:cs="Times New Roman"/>
          <w:sz w:val="28"/>
          <w:szCs w:val="28"/>
        </w:rPr>
        <w:t xml:space="preserve"> [</w:t>
      </w:r>
      <w:r w:rsidR="00374A2D">
        <w:rPr>
          <w:rFonts w:ascii="Times New Roman" w:hAnsi="Times New Roman" w:cs="Times New Roman"/>
          <w:sz w:val="28"/>
          <w:szCs w:val="28"/>
        </w:rPr>
        <w:t>7</w:t>
      </w:r>
      <w:r w:rsidR="002D500A" w:rsidRPr="003478F0">
        <w:rPr>
          <w:rFonts w:ascii="Times New Roman" w:hAnsi="Times New Roman" w:cs="Times New Roman"/>
          <w:sz w:val="28"/>
          <w:szCs w:val="28"/>
        </w:rPr>
        <w:t>]</w:t>
      </w:r>
    </w:p>
    <w:p w14:paraId="40FF2D0C" w14:textId="4250F403" w:rsidR="007C0B4B" w:rsidRPr="007C0B4B" w:rsidRDefault="007C0B4B" w:rsidP="007C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0B4B">
        <w:rPr>
          <w:rFonts w:ascii="Times New Roman" w:hAnsi="Times New Roman" w:cs="Times New Roman"/>
          <w:sz w:val="28"/>
          <w:szCs w:val="28"/>
        </w:rPr>
        <w:t>Банк устойчив в том случае, если он рентабелен, ликвиден, платежеспособен и выполняет обязательные нормативы деятельности, что больше опре</w:t>
      </w:r>
      <w:r w:rsidR="00C241CC">
        <w:rPr>
          <w:rFonts w:ascii="Times New Roman" w:hAnsi="Times New Roman" w:cs="Times New Roman"/>
          <w:sz w:val="28"/>
          <w:szCs w:val="28"/>
        </w:rPr>
        <w:t>деляет его с позиции надежности</w:t>
      </w:r>
      <w:r w:rsidRPr="007C0B4B">
        <w:rPr>
          <w:rFonts w:ascii="Times New Roman" w:hAnsi="Times New Roman" w:cs="Times New Roman"/>
          <w:sz w:val="28"/>
          <w:szCs w:val="28"/>
        </w:rPr>
        <w:t xml:space="preserve"> (табл.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0B4B">
        <w:rPr>
          <w:rFonts w:ascii="Times New Roman" w:hAnsi="Times New Roman" w:cs="Times New Roman"/>
          <w:sz w:val="28"/>
          <w:szCs w:val="28"/>
        </w:rPr>
        <w:t>)</w:t>
      </w:r>
      <w:r w:rsidR="00C241CC">
        <w:rPr>
          <w:rFonts w:ascii="Times New Roman" w:hAnsi="Times New Roman" w:cs="Times New Roman"/>
          <w:sz w:val="28"/>
          <w:szCs w:val="28"/>
        </w:rPr>
        <w:t>.</w:t>
      </w:r>
    </w:p>
    <w:p w14:paraId="186FF6E2" w14:textId="2950BCF1" w:rsidR="007C0B4B" w:rsidRPr="007C0B4B" w:rsidRDefault="007C0B4B" w:rsidP="007C0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B4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0B4B">
        <w:rPr>
          <w:rFonts w:ascii="Times New Roman" w:hAnsi="Times New Roman" w:cs="Times New Roman"/>
          <w:sz w:val="28"/>
          <w:szCs w:val="28"/>
        </w:rPr>
        <w:t>. Обязательные нормативы деятельности коммерческих банков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0B4B" w:rsidRPr="007C0B4B" w14:paraId="1CAF4917" w14:textId="77777777" w:rsidTr="00011FE3">
        <w:tc>
          <w:tcPr>
            <w:tcW w:w="4672" w:type="dxa"/>
          </w:tcPr>
          <w:p w14:paraId="1A5F078F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4673" w:type="dxa"/>
          </w:tcPr>
          <w:p w14:paraId="4AB1A90E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7C0B4B" w:rsidRPr="007C0B4B" w14:paraId="699C1314" w14:textId="77777777" w:rsidTr="00011FE3">
        <w:tc>
          <w:tcPr>
            <w:tcW w:w="4672" w:type="dxa"/>
          </w:tcPr>
          <w:p w14:paraId="0B93CA61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1</w:t>
            </w:r>
          </w:p>
        </w:tc>
        <w:tc>
          <w:tcPr>
            <w:tcW w:w="4673" w:type="dxa"/>
          </w:tcPr>
          <w:p w14:paraId="3FC7A89B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Мин 10%</w:t>
            </w:r>
          </w:p>
        </w:tc>
      </w:tr>
      <w:tr w:rsidR="007C0B4B" w:rsidRPr="007C0B4B" w14:paraId="48778FCF" w14:textId="77777777" w:rsidTr="00011FE3">
        <w:tc>
          <w:tcPr>
            <w:tcW w:w="4672" w:type="dxa"/>
          </w:tcPr>
          <w:p w14:paraId="2394DF21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2</w:t>
            </w:r>
          </w:p>
        </w:tc>
        <w:tc>
          <w:tcPr>
            <w:tcW w:w="4673" w:type="dxa"/>
          </w:tcPr>
          <w:p w14:paraId="2140A7F1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Мин 15%</w:t>
            </w:r>
          </w:p>
        </w:tc>
      </w:tr>
      <w:tr w:rsidR="007C0B4B" w:rsidRPr="007C0B4B" w14:paraId="0DDFD545" w14:textId="77777777" w:rsidTr="00011FE3">
        <w:tc>
          <w:tcPr>
            <w:tcW w:w="4672" w:type="dxa"/>
          </w:tcPr>
          <w:p w14:paraId="2DD4C813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3</w:t>
            </w:r>
          </w:p>
        </w:tc>
        <w:tc>
          <w:tcPr>
            <w:tcW w:w="4673" w:type="dxa"/>
          </w:tcPr>
          <w:p w14:paraId="570C4C81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Мин 50%</w:t>
            </w:r>
          </w:p>
        </w:tc>
      </w:tr>
      <w:tr w:rsidR="007C0B4B" w:rsidRPr="007C0B4B" w14:paraId="454CFDB5" w14:textId="77777777" w:rsidTr="00011FE3">
        <w:tc>
          <w:tcPr>
            <w:tcW w:w="4672" w:type="dxa"/>
          </w:tcPr>
          <w:p w14:paraId="5F057AD3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4</w:t>
            </w:r>
          </w:p>
        </w:tc>
        <w:tc>
          <w:tcPr>
            <w:tcW w:w="4673" w:type="dxa"/>
          </w:tcPr>
          <w:p w14:paraId="7045EAC8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120%</w:t>
            </w:r>
          </w:p>
        </w:tc>
      </w:tr>
      <w:tr w:rsidR="007C0B4B" w:rsidRPr="007C0B4B" w14:paraId="5398537E" w14:textId="77777777" w:rsidTr="00011FE3">
        <w:tc>
          <w:tcPr>
            <w:tcW w:w="4672" w:type="dxa"/>
          </w:tcPr>
          <w:p w14:paraId="35ADD6C1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6</w:t>
            </w:r>
          </w:p>
        </w:tc>
        <w:tc>
          <w:tcPr>
            <w:tcW w:w="4673" w:type="dxa"/>
          </w:tcPr>
          <w:p w14:paraId="69148752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25%</w:t>
            </w:r>
          </w:p>
        </w:tc>
      </w:tr>
      <w:tr w:rsidR="007C0B4B" w:rsidRPr="007C0B4B" w14:paraId="2DF11082" w14:textId="77777777" w:rsidTr="00011FE3">
        <w:tc>
          <w:tcPr>
            <w:tcW w:w="4672" w:type="dxa"/>
          </w:tcPr>
          <w:p w14:paraId="15C7E889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7</w:t>
            </w:r>
          </w:p>
        </w:tc>
        <w:tc>
          <w:tcPr>
            <w:tcW w:w="4673" w:type="dxa"/>
          </w:tcPr>
          <w:p w14:paraId="3130887E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800%</w:t>
            </w:r>
          </w:p>
        </w:tc>
      </w:tr>
      <w:tr w:rsidR="007C0B4B" w:rsidRPr="007C0B4B" w14:paraId="0D18B1F7" w14:textId="77777777" w:rsidTr="00011FE3">
        <w:tc>
          <w:tcPr>
            <w:tcW w:w="4672" w:type="dxa"/>
          </w:tcPr>
          <w:p w14:paraId="141310B0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9.1</w:t>
            </w:r>
          </w:p>
        </w:tc>
        <w:tc>
          <w:tcPr>
            <w:tcW w:w="4673" w:type="dxa"/>
          </w:tcPr>
          <w:p w14:paraId="3A73F206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50%</w:t>
            </w:r>
          </w:p>
        </w:tc>
      </w:tr>
      <w:tr w:rsidR="007C0B4B" w:rsidRPr="007C0B4B" w14:paraId="1834AB32" w14:textId="77777777" w:rsidTr="00011FE3">
        <w:tc>
          <w:tcPr>
            <w:tcW w:w="4672" w:type="dxa"/>
          </w:tcPr>
          <w:p w14:paraId="077005C9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10.1</w:t>
            </w:r>
          </w:p>
        </w:tc>
        <w:tc>
          <w:tcPr>
            <w:tcW w:w="4673" w:type="dxa"/>
          </w:tcPr>
          <w:p w14:paraId="6F9A9435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3%</w:t>
            </w:r>
          </w:p>
        </w:tc>
      </w:tr>
      <w:tr w:rsidR="007C0B4B" w14:paraId="211D16E4" w14:textId="77777777" w:rsidTr="00011FE3">
        <w:tc>
          <w:tcPr>
            <w:tcW w:w="4672" w:type="dxa"/>
          </w:tcPr>
          <w:p w14:paraId="37984D0B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Н 12</w:t>
            </w:r>
          </w:p>
        </w:tc>
        <w:tc>
          <w:tcPr>
            <w:tcW w:w="4673" w:type="dxa"/>
          </w:tcPr>
          <w:p w14:paraId="68D07B75" w14:textId="77777777" w:rsidR="007C0B4B" w:rsidRPr="00B34F6C" w:rsidRDefault="007C0B4B" w:rsidP="00011F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sz w:val="20"/>
                <w:szCs w:val="20"/>
              </w:rPr>
              <w:t>Макс 25%</w:t>
            </w:r>
          </w:p>
        </w:tc>
      </w:tr>
    </w:tbl>
    <w:p w14:paraId="7403E511" w14:textId="77777777" w:rsidR="007C0B4B" w:rsidRDefault="007C0B4B" w:rsidP="007C0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68C04" w14:textId="11E1B740" w:rsidR="008C57DB" w:rsidRDefault="00F67BEF" w:rsidP="00B370F3">
      <w:pPr>
        <w:tabs>
          <w:tab w:val="left" w:pos="36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условиях социально-экономической нестабильности, кризисных явлений, институциональных преобразований сложных экономических систем, а также трансформационных процессов, протекающих в самой банковской системе, вопрос устойчивости банков приобретает большую значимость. При этом базовыми свойствами в нашем понимании устойчивости выступают: ликвидность, платежеспособность, надежность и 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стабильность </w:t>
      </w:r>
      <w:r w:rsidR="00374A2D" w:rsidRP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374A2D" w:rsidRP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Ликвидный банк, способный отвечать по своим обязательствам является банком платежеспособным, а платежеспособность банка </w:t>
      </w:r>
      <w:r w:rsid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позиции клиента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определяет его как банк </w:t>
      </w:r>
      <w:r w:rsid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надежный. Надежные банки вызывают доверительные отношения у клиентов, что приводит к формированию свойства устойчивости.</w:t>
      </w:r>
    </w:p>
    <w:p w14:paraId="7D4846CD" w14:textId="00569E07" w:rsidR="00B370F3" w:rsidRDefault="00B370F3" w:rsidP="00B37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Следовательно, можно выдвинуть гипотезу о корреляционной связи показателей устойчивости банка и доверия со стороны потребителей.  При этом устойчивость банка будет выражаться </w:t>
      </w:r>
      <w:r w:rsidR="00BB09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способност</w:t>
      </w:r>
      <w:r w:rsidR="00BB09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пассивную базу, связанную с привлечением средств физических лиц. </w:t>
      </w:r>
    </w:p>
    <w:p w14:paraId="28EC2162" w14:textId="77777777" w:rsidR="00C44C51" w:rsidRDefault="00B370F3" w:rsidP="00B3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Рейтинг </w:t>
      </w:r>
      <w:r w:rsidR="00C47D68">
        <w:rPr>
          <w:rFonts w:ascii="Times New Roman" w:hAnsi="Times New Roman" w:cs="Times New Roman"/>
          <w:sz w:val="28"/>
          <w:szCs w:val="28"/>
        </w:rPr>
        <w:t xml:space="preserve">банков России </w:t>
      </w:r>
      <w:r w:rsidR="00C44C51" w:rsidRPr="00C44C51">
        <w:rPr>
          <w:rFonts w:ascii="Times New Roman" w:hAnsi="Times New Roman" w:cs="Times New Roman"/>
          <w:sz w:val="28"/>
          <w:szCs w:val="28"/>
        </w:rPr>
        <w:t xml:space="preserve">по величине активов </w:t>
      </w:r>
    </w:p>
    <w:p w14:paraId="6C9E382E" w14:textId="52E5C0CF" w:rsidR="00B370F3" w:rsidRDefault="00C47D68" w:rsidP="00B3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</w:t>
      </w:r>
      <w:r w:rsidR="00B370F3">
        <w:rPr>
          <w:rFonts w:ascii="Times New Roman" w:hAnsi="Times New Roman" w:cs="Times New Roman"/>
          <w:sz w:val="28"/>
          <w:szCs w:val="28"/>
        </w:rPr>
        <w:t xml:space="preserve"> 2023</w:t>
      </w:r>
      <w:r w:rsidR="00B370F3" w:rsidRPr="00546A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70F3" w:rsidRPr="00546A92">
        <w:rPr>
          <w:rFonts w:ascii="Times New Roman" w:hAnsi="Times New Roman" w:cs="Times New Roman"/>
          <w:sz w:val="28"/>
          <w:szCs w:val="28"/>
        </w:rPr>
        <w:t xml:space="preserve"> </w:t>
      </w:r>
      <w:r w:rsidRPr="00200CDD">
        <w:rPr>
          <w:rFonts w:ascii="Times New Roman" w:hAnsi="Times New Roman" w:cs="Times New Roman"/>
          <w:sz w:val="28"/>
          <w:szCs w:val="28"/>
        </w:rPr>
        <w:t>[</w:t>
      </w:r>
      <w:r w:rsidR="00374A2D">
        <w:rPr>
          <w:rFonts w:ascii="Times New Roman" w:hAnsi="Times New Roman" w:cs="Times New Roman"/>
          <w:sz w:val="28"/>
          <w:szCs w:val="28"/>
        </w:rPr>
        <w:t>6</w:t>
      </w:r>
      <w:r w:rsidRPr="00200CDD">
        <w:rPr>
          <w:rFonts w:ascii="Times New Roman" w:hAnsi="Times New Roman" w:cs="Times New Roman"/>
          <w:sz w:val="28"/>
          <w:szCs w:val="28"/>
        </w:rPr>
        <w:t>]</w:t>
      </w:r>
    </w:p>
    <w:p w14:paraId="0196FC58" w14:textId="77777777" w:rsidR="00C47D68" w:rsidRPr="00200CDD" w:rsidRDefault="00C47D68" w:rsidP="00B3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2268"/>
      </w:tblGrid>
      <w:tr w:rsidR="00C47D68" w:rsidRPr="00546A92" w14:paraId="6A7E3F33" w14:textId="2206124F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0CDE40D0" w14:textId="77777777" w:rsidR="00C47D68" w:rsidRPr="00B34F6C" w:rsidRDefault="00C47D68" w:rsidP="00B370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Позиция в рейтинге</w:t>
            </w:r>
          </w:p>
        </w:tc>
        <w:tc>
          <w:tcPr>
            <w:tcW w:w="2268" w:type="dxa"/>
            <w:noWrap/>
            <w:vAlign w:val="center"/>
          </w:tcPr>
          <w:p w14:paraId="45692808" w14:textId="77777777" w:rsidR="00C47D68" w:rsidRPr="00B34F6C" w:rsidRDefault="00C47D68" w:rsidP="00B370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Банк</w:t>
            </w:r>
          </w:p>
        </w:tc>
        <w:tc>
          <w:tcPr>
            <w:tcW w:w="1985" w:type="dxa"/>
            <w:vAlign w:val="center"/>
          </w:tcPr>
          <w:p w14:paraId="6E3184C8" w14:textId="77777777" w:rsidR="00C47D68" w:rsidRPr="00B34F6C" w:rsidRDefault="00C47D68" w:rsidP="00B370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собственности</w:t>
            </w:r>
          </w:p>
        </w:tc>
        <w:tc>
          <w:tcPr>
            <w:tcW w:w="2268" w:type="dxa"/>
            <w:noWrap/>
            <w:vAlign w:val="center"/>
          </w:tcPr>
          <w:p w14:paraId="41355356" w14:textId="77777777" w:rsidR="00C47D68" w:rsidRPr="00B34F6C" w:rsidRDefault="00C47D68" w:rsidP="00B370F3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Величина активов</w:t>
            </w:r>
          </w:p>
          <w:p w14:paraId="7CBFF09A" w14:textId="011EBD95" w:rsidR="00C47D68" w:rsidRPr="00B34F6C" w:rsidRDefault="00C47D68" w:rsidP="00B370F3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(млн.)</w:t>
            </w:r>
          </w:p>
        </w:tc>
      </w:tr>
      <w:tr w:rsidR="00C47D68" w:rsidRPr="00546A92" w14:paraId="02648BBB" w14:textId="3ADAADBD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084B8017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37DAFCC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СберБанк</w:t>
            </w:r>
            <w:proofErr w:type="spellEnd"/>
          </w:p>
        </w:tc>
        <w:tc>
          <w:tcPr>
            <w:tcW w:w="1985" w:type="dxa"/>
            <w:vAlign w:val="center"/>
          </w:tcPr>
          <w:p w14:paraId="17CDFCDA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68" w:type="dxa"/>
            <w:noWrap/>
            <w:vAlign w:val="center"/>
          </w:tcPr>
          <w:p w14:paraId="546A0592" w14:textId="3CB027F4" w:rsidR="00C47D68" w:rsidRPr="00C44C51" w:rsidRDefault="009A637C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32 520 553</w:t>
            </w:r>
          </w:p>
        </w:tc>
      </w:tr>
      <w:tr w:rsidR="00C47D68" w:rsidRPr="00546A92" w14:paraId="4CBD26ED" w14:textId="5121847F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665148AB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575DA9C1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ВТБ</w:t>
            </w:r>
          </w:p>
        </w:tc>
        <w:tc>
          <w:tcPr>
            <w:tcW w:w="1985" w:type="dxa"/>
            <w:vAlign w:val="center"/>
          </w:tcPr>
          <w:p w14:paraId="3F463598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68" w:type="dxa"/>
            <w:noWrap/>
            <w:vAlign w:val="center"/>
          </w:tcPr>
          <w:p w14:paraId="0382D1F4" w14:textId="5C807B14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18 776 336</w:t>
            </w:r>
          </w:p>
        </w:tc>
      </w:tr>
      <w:tr w:rsidR="00C47D68" w:rsidRPr="00546A92" w14:paraId="62A4EA80" w14:textId="21980AF9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0F8B2F29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99D024C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Газпромбанк</w:t>
            </w:r>
          </w:p>
        </w:tc>
        <w:tc>
          <w:tcPr>
            <w:tcW w:w="1985" w:type="dxa"/>
            <w:vAlign w:val="center"/>
          </w:tcPr>
          <w:p w14:paraId="476E059C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68" w:type="dxa"/>
            <w:noWrap/>
            <w:vAlign w:val="center"/>
          </w:tcPr>
          <w:p w14:paraId="62DA1001" w14:textId="492D218B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8 121 915</w:t>
            </w:r>
          </w:p>
        </w:tc>
      </w:tr>
      <w:tr w:rsidR="00C47D68" w:rsidRPr="00546A92" w14:paraId="3464A14F" w14:textId="0238A95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6BC51F2B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04499954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Альфа-Банк</w:t>
            </w:r>
          </w:p>
        </w:tc>
        <w:tc>
          <w:tcPr>
            <w:tcW w:w="1985" w:type="dxa"/>
            <w:vAlign w:val="center"/>
          </w:tcPr>
          <w:p w14:paraId="168BE3CA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68" w:type="dxa"/>
            <w:noWrap/>
            <w:vAlign w:val="center"/>
          </w:tcPr>
          <w:p w14:paraId="0FAE7FAC" w14:textId="0D0871DA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5 791 364</w:t>
            </w:r>
          </w:p>
        </w:tc>
      </w:tr>
      <w:tr w:rsidR="00C47D68" w:rsidRPr="00546A92" w14:paraId="4E251552" w14:textId="6F8B535F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138D138B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63365AF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Россельхозбанк</w:t>
            </w:r>
            <w:proofErr w:type="spellEnd"/>
          </w:p>
        </w:tc>
        <w:tc>
          <w:tcPr>
            <w:tcW w:w="1985" w:type="dxa"/>
            <w:vAlign w:val="center"/>
          </w:tcPr>
          <w:p w14:paraId="1CD0A82B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68" w:type="dxa"/>
            <w:noWrap/>
            <w:vAlign w:val="center"/>
          </w:tcPr>
          <w:p w14:paraId="0BD038F0" w14:textId="79AE836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4 287 628</w:t>
            </w:r>
          </w:p>
        </w:tc>
      </w:tr>
      <w:tr w:rsidR="00C47D68" w:rsidRPr="00546A92" w14:paraId="25242BE0" w14:textId="58A3C310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7FAFC539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152E2521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Московский Кредитный Банк</w:t>
            </w:r>
          </w:p>
        </w:tc>
        <w:tc>
          <w:tcPr>
            <w:tcW w:w="1985" w:type="dxa"/>
            <w:vAlign w:val="center"/>
          </w:tcPr>
          <w:p w14:paraId="26531B90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68" w:type="dxa"/>
            <w:noWrap/>
            <w:vAlign w:val="center"/>
          </w:tcPr>
          <w:p w14:paraId="5D551C1B" w14:textId="63BE1372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3 519 370</w:t>
            </w:r>
          </w:p>
        </w:tc>
      </w:tr>
      <w:tr w:rsidR="00C47D68" w:rsidRPr="00546A92" w14:paraId="4BA016D4" w14:textId="3049EE32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77B3F1B6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14:paraId="4D4CBBF1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Открытие</w:t>
            </w:r>
          </w:p>
        </w:tc>
        <w:tc>
          <w:tcPr>
            <w:tcW w:w="1985" w:type="dxa"/>
            <w:vAlign w:val="center"/>
          </w:tcPr>
          <w:p w14:paraId="13D2EAE3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68" w:type="dxa"/>
            <w:noWrap/>
            <w:vAlign w:val="center"/>
          </w:tcPr>
          <w:p w14:paraId="1D89D43E" w14:textId="53FDA1BC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3 423 788</w:t>
            </w:r>
          </w:p>
        </w:tc>
      </w:tr>
      <w:tr w:rsidR="00C47D68" w:rsidRPr="00546A92" w14:paraId="5D0276FE" w14:textId="02C7E1A4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5798A7B8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14:paraId="16671C7B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Совкомбанк</w:t>
            </w:r>
            <w:proofErr w:type="spellEnd"/>
          </w:p>
        </w:tc>
        <w:tc>
          <w:tcPr>
            <w:tcW w:w="1985" w:type="dxa"/>
            <w:vAlign w:val="center"/>
          </w:tcPr>
          <w:p w14:paraId="0CBC5DF9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68" w:type="dxa"/>
            <w:noWrap/>
            <w:vAlign w:val="center"/>
          </w:tcPr>
          <w:p w14:paraId="316DD148" w14:textId="79ACDB89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1 915 912</w:t>
            </w:r>
          </w:p>
        </w:tc>
      </w:tr>
      <w:tr w:rsidR="00C47D68" w:rsidRPr="00546A92" w14:paraId="04EFA46B" w14:textId="1E5308B8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429BE52F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vAlign w:val="center"/>
            <w:hideMark/>
          </w:tcPr>
          <w:p w14:paraId="71B42007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Райффайзенбанк</w:t>
            </w:r>
          </w:p>
        </w:tc>
        <w:tc>
          <w:tcPr>
            <w:tcW w:w="1985" w:type="dxa"/>
            <w:vAlign w:val="center"/>
          </w:tcPr>
          <w:p w14:paraId="263D9239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68" w:type="dxa"/>
            <w:noWrap/>
            <w:vAlign w:val="center"/>
          </w:tcPr>
          <w:p w14:paraId="231F5AEB" w14:textId="64C4F27D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1 484 243</w:t>
            </w:r>
          </w:p>
        </w:tc>
      </w:tr>
      <w:tr w:rsidR="00C47D68" w:rsidRPr="00546A92" w14:paraId="07C2BF3C" w14:textId="0C289890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78835570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6171AF35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Росбанк</w:t>
            </w:r>
          </w:p>
        </w:tc>
        <w:tc>
          <w:tcPr>
            <w:tcW w:w="1985" w:type="dxa"/>
            <w:vAlign w:val="center"/>
          </w:tcPr>
          <w:p w14:paraId="615B7877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68" w:type="dxa"/>
            <w:noWrap/>
            <w:vAlign w:val="center"/>
          </w:tcPr>
          <w:p w14:paraId="0D2962DF" w14:textId="55121016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1 394 264</w:t>
            </w:r>
          </w:p>
        </w:tc>
      </w:tr>
    </w:tbl>
    <w:p w14:paraId="23A7F5F1" w14:textId="7D92DA57" w:rsidR="00B370F3" w:rsidRDefault="00B370F3" w:rsidP="00B37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A386BCB" w14:textId="7216B5FC" w:rsidR="00C47D68" w:rsidRDefault="00C47D68" w:rsidP="00C47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Рейтинг банков России на начало 2023</w:t>
      </w:r>
      <w:r w:rsidRPr="00546A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A92">
        <w:rPr>
          <w:rFonts w:ascii="Times New Roman" w:hAnsi="Times New Roman" w:cs="Times New Roman"/>
          <w:sz w:val="28"/>
          <w:szCs w:val="28"/>
        </w:rPr>
        <w:t xml:space="preserve"> по величине </w:t>
      </w:r>
      <w:r w:rsidR="00C241CC">
        <w:rPr>
          <w:rFonts w:ascii="Times New Roman" w:hAnsi="Times New Roman" w:cs="Times New Roman"/>
          <w:sz w:val="28"/>
          <w:szCs w:val="28"/>
        </w:rPr>
        <w:t>вкладов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CDD">
        <w:rPr>
          <w:rFonts w:ascii="Times New Roman" w:hAnsi="Times New Roman" w:cs="Times New Roman"/>
          <w:sz w:val="28"/>
          <w:szCs w:val="28"/>
        </w:rPr>
        <w:t>[</w:t>
      </w:r>
      <w:r w:rsidR="00374A2D">
        <w:rPr>
          <w:rFonts w:ascii="Times New Roman" w:hAnsi="Times New Roman" w:cs="Times New Roman"/>
          <w:sz w:val="28"/>
          <w:szCs w:val="28"/>
        </w:rPr>
        <w:t>6</w:t>
      </w:r>
      <w:r w:rsidRPr="00200CDD">
        <w:rPr>
          <w:rFonts w:ascii="Times New Roman" w:hAnsi="Times New Roman" w:cs="Times New Roman"/>
          <w:sz w:val="28"/>
          <w:szCs w:val="28"/>
        </w:rPr>
        <w:t>]</w:t>
      </w:r>
      <w:r w:rsidR="00C241CC">
        <w:rPr>
          <w:rFonts w:ascii="Times New Roman" w:hAnsi="Times New Roman" w:cs="Times New Roman"/>
          <w:sz w:val="28"/>
          <w:szCs w:val="28"/>
        </w:rPr>
        <w:t>.</w:t>
      </w:r>
    </w:p>
    <w:p w14:paraId="118C2A0F" w14:textId="77777777" w:rsidR="00C47D68" w:rsidRPr="00200CDD" w:rsidRDefault="00C47D68" w:rsidP="00C47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80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2276"/>
      </w:tblGrid>
      <w:tr w:rsidR="00C47D68" w:rsidRPr="00546A92" w14:paraId="368D0FCF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493636B9" w14:textId="77777777" w:rsidR="00C47D68" w:rsidRPr="00B34F6C" w:rsidRDefault="00C47D68" w:rsidP="00897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Позиция в рейтинге</w:t>
            </w:r>
          </w:p>
        </w:tc>
        <w:tc>
          <w:tcPr>
            <w:tcW w:w="2268" w:type="dxa"/>
            <w:noWrap/>
            <w:vAlign w:val="center"/>
          </w:tcPr>
          <w:p w14:paraId="3FDE36AA" w14:textId="77777777" w:rsidR="00C47D68" w:rsidRPr="00B34F6C" w:rsidRDefault="00C47D68" w:rsidP="00897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Банк</w:t>
            </w:r>
          </w:p>
        </w:tc>
        <w:tc>
          <w:tcPr>
            <w:tcW w:w="1985" w:type="dxa"/>
            <w:vAlign w:val="center"/>
          </w:tcPr>
          <w:p w14:paraId="4AE40155" w14:textId="77777777" w:rsidR="00C47D68" w:rsidRPr="00B34F6C" w:rsidRDefault="00C47D68" w:rsidP="008970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собственности</w:t>
            </w:r>
          </w:p>
        </w:tc>
        <w:tc>
          <w:tcPr>
            <w:tcW w:w="2276" w:type="dxa"/>
          </w:tcPr>
          <w:p w14:paraId="6315462B" w14:textId="77777777" w:rsidR="00C47D68" w:rsidRPr="00B34F6C" w:rsidRDefault="00C47D68" w:rsidP="008970A7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231C719" w14:textId="77777777" w:rsidR="00C47D68" w:rsidRPr="00B34F6C" w:rsidRDefault="00C47D68" w:rsidP="008970A7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AFDE01" w14:textId="68485B13" w:rsidR="00C47D68" w:rsidRPr="00B34F6C" w:rsidRDefault="00C47D68" w:rsidP="008970A7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Вклады физ. лиц</w:t>
            </w:r>
          </w:p>
          <w:p w14:paraId="17E490A0" w14:textId="77777777" w:rsidR="00C47D68" w:rsidRPr="00B34F6C" w:rsidRDefault="00C47D68" w:rsidP="008970A7">
            <w:pPr>
              <w:ind w:right="-1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4F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(млн.)</w:t>
            </w:r>
          </w:p>
        </w:tc>
      </w:tr>
      <w:tr w:rsidR="00C47D68" w:rsidRPr="00546A92" w14:paraId="5B5F118F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5CA44F31" w14:textId="77777777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267EE039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СберБанк</w:t>
            </w:r>
            <w:proofErr w:type="spellEnd"/>
          </w:p>
        </w:tc>
        <w:tc>
          <w:tcPr>
            <w:tcW w:w="1985" w:type="dxa"/>
            <w:vAlign w:val="center"/>
          </w:tcPr>
          <w:p w14:paraId="6C6CA0E1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76" w:type="dxa"/>
          </w:tcPr>
          <w:p w14:paraId="19DD56FE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9 638 845</w:t>
            </w:r>
          </w:p>
        </w:tc>
      </w:tr>
      <w:tr w:rsidR="00C47D68" w:rsidRPr="00546A92" w14:paraId="2460A016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69317922" w14:textId="77777777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A00F38E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ВТБ</w:t>
            </w:r>
          </w:p>
        </w:tc>
        <w:tc>
          <w:tcPr>
            <w:tcW w:w="1985" w:type="dxa"/>
            <w:vAlign w:val="center"/>
          </w:tcPr>
          <w:p w14:paraId="018C5F23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76" w:type="dxa"/>
          </w:tcPr>
          <w:p w14:paraId="5662B904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2 791 797</w:t>
            </w:r>
          </w:p>
        </w:tc>
      </w:tr>
      <w:tr w:rsidR="00C47D68" w:rsidRPr="00546A92" w14:paraId="442EE4C1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71F2DF8F" w14:textId="38D7FA1B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0D775668" w14:textId="4884F120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Россельхозбанк</w:t>
            </w:r>
            <w:proofErr w:type="spellEnd"/>
          </w:p>
        </w:tc>
        <w:tc>
          <w:tcPr>
            <w:tcW w:w="1985" w:type="dxa"/>
            <w:vAlign w:val="center"/>
          </w:tcPr>
          <w:p w14:paraId="363A8529" w14:textId="2F234233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76" w:type="dxa"/>
          </w:tcPr>
          <w:p w14:paraId="7E134444" w14:textId="76AF75BE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1 184 865</w:t>
            </w:r>
          </w:p>
        </w:tc>
      </w:tr>
      <w:tr w:rsidR="00C47D68" w:rsidRPr="00546A92" w14:paraId="21281BD6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29EA3E1E" w14:textId="23B8C9E6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1A5DBB60" w14:textId="77777777" w:rsidR="00C47D68" w:rsidRPr="00C44C51" w:rsidRDefault="00C47D68" w:rsidP="008970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Газпромбанк</w:t>
            </w:r>
          </w:p>
        </w:tc>
        <w:tc>
          <w:tcPr>
            <w:tcW w:w="1985" w:type="dxa"/>
            <w:vAlign w:val="center"/>
          </w:tcPr>
          <w:p w14:paraId="18EA0760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76" w:type="dxa"/>
          </w:tcPr>
          <w:p w14:paraId="0D195D97" w14:textId="77777777" w:rsidR="00C47D68" w:rsidRPr="00C44C51" w:rsidRDefault="00C47D68" w:rsidP="00897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Style w:val="bank-rating-sum-va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975 332</w:t>
            </w: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47D68" w:rsidRPr="00546A92" w14:paraId="45C7FF76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09FB9470" w14:textId="69DC1AFC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14:paraId="137A414A" w14:textId="261C05E2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Открытие</w:t>
            </w:r>
          </w:p>
        </w:tc>
        <w:tc>
          <w:tcPr>
            <w:tcW w:w="1985" w:type="dxa"/>
            <w:vAlign w:val="center"/>
          </w:tcPr>
          <w:p w14:paraId="54277AFD" w14:textId="1C1A7430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госбанк</w:t>
            </w:r>
          </w:p>
        </w:tc>
        <w:tc>
          <w:tcPr>
            <w:tcW w:w="2276" w:type="dxa"/>
          </w:tcPr>
          <w:p w14:paraId="09A62437" w14:textId="3DE81B0C" w:rsidR="00C47D68" w:rsidRPr="00C44C51" w:rsidRDefault="00C47D68" w:rsidP="00C47D68">
            <w:pPr>
              <w:jc w:val="center"/>
              <w:rPr>
                <w:rStyle w:val="bank-rating-sum-va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526 162</w:t>
            </w:r>
          </w:p>
        </w:tc>
      </w:tr>
      <w:tr w:rsidR="00C47D68" w:rsidRPr="00546A92" w14:paraId="5C1CF275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1AC09A24" w14:textId="3E7220A1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14:paraId="69E60FCC" w14:textId="70D4722F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Совкомбанк</w:t>
            </w:r>
            <w:proofErr w:type="spellEnd"/>
          </w:p>
        </w:tc>
        <w:tc>
          <w:tcPr>
            <w:tcW w:w="1985" w:type="dxa"/>
            <w:vAlign w:val="center"/>
          </w:tcPr>
          <w:p w14:paraId="39F8F235" w14:textId="212D6F49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76" w:type="dxa"/>
          </w:tcPr>
          <w:p w14:paraId="61D24E91" w14:textId="671300E2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Style w:val="bank-rating-sum-va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443 385</w:t>
            </w: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47D68" w:rsidRPr="00546A92" w14:paraId="265CBF83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5D8E4DEA" w14:textId="692EC174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14:paraId="374FFAED" w14:textId="6BF703EB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Московский Кредитный Банк</w:t>
            </w:r>
          </w:p>
        </w:tc>
        <w:tc>
          <w:tcPr>
            <w:tcW w:w="1985" w:type="dxa"/>
            <w:vAlign w:val="center"/>
          </w:tcPr>
          <w:p w14:paraId="125A25AD" w14:textId="7E5E48F3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76" w:type="dxa"/>
          </w:tcPr>
          <w:p w14:paraId="4469B54A" w14:textId="022198C7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Style w:val="bank-rating-sum-va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423 378</w:t>
            </w: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47D68" w:rsidRPr="00546A92" w14:paraId="1FFE4388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0ABAE52E" w14:textId="3C0425CA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14:paraId="3EF6DE9E" w14:textId="7C35B309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Тинькофф</w:t>
            </w:r>
          </w:p>
        </w:tc>
        <w:tc>
          <w:tcPr>
            <w:tcW w:w="1985" w:type="dxa"/>
            <w:vAlign w:val="center"/>
          </w:tcPr>
          <w:p w14:paraId="1FC72320" w14:textId="78BF5EE6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76" w:type="dxa"/>
          </w:tcPr>
          <w:p w14:paraId="359B404B" w14:textId="3CB18115" w:rsidR="00C47D68" w:rsidRPr="00C44C51" w:rsidRDefault="00C47D68" w:rsidP="00C47D68">
            <w:pPr>
              <w:jc w:val="center"/>
              <w:rPr>
                <w:rStyle w:val="bank-rating-sum-va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340 229</w:t>
            </w:r>
          </w:p>
        </w:tc>
      </w:tr>
      <w:tr w:rsidR="00C47D68" w:rsidRPr="00546A92" w14:paraId="734DCFE1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  <w:hideMark/>
          </w:tcPr>
          <w:p w14:paraId="4F2BC015" w14:textId="25F2782B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14:paraId="5C74C802" w14:textId="5DEEBF91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Альфа-Банк</w:t>
            </w:r>
          </w:p>
        </w:tc>
        <w:tc>
          <w:tcPr>
            <w:tcW w:w="1985" w:type="dxa"/>
            <w:vAlign w:val="center"/>
          </w:tcPr>
          <w:p w14:paraId="0729E187" w14:textId="2B37FD23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76" w:type="dxa"/>
          </w:tcPr>
          <w:p w14:paraId="41EE700F" w14:textId="1DF701EE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335 104</w:t>
            </w:r>
          </w:p>
        </w:tc>
      </w:tr>
      <w:tr w:rsidR="00C47D68" w:rsidRPr="00546A92" w14:paraId="2E417314" w14:textId="77777777" w:rsidTr="00C47D68">
        <w:trPr>
          <w:trHeight w:val="20"/>
          <w:jc w:val="center"/>
        </w:trPr>
        <w:tc>
          <w:tcPr>
            <w:tcW w:w="1271" w:type="dxa"/>
            <w:noWrap/>
            <w:vAlign w:val="center"/>
          </w:tcPr>
          <w:p w14:paraId="6C858F67" w14:textId="22F34649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14:paraId="5ADB59ED" w14:textId="32B65168" w:rsidR="00C47D68" w:rsidRPr="00C44C51" w:rsidRDefault="00C47D68" w:rsidP="00C4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СМП Банк</w:t>
            </w:r>
          </w:p>
        </w:tc>
        <w:tc>
          <w:tcPr>
            <w:tcW w:w="1985" w:type="dxa"/>
            <w:vAlign w:val="center"/>
          </w:tcPr>
          <w:p w14:paraId="2C15CE83" w14:textId="5BE9F629" w:rsidR="00C47D68" w:rsidRPr="00C44C51" w:rsidRDefault="009A637C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частный</w:t>
            </w:r>
          </w:p>
        </w:tc>
        <w:tc>
          <w:tcPr>
            <w:tcW w:w="2276" w:type="dxa"/>
          </w:tcPr>
          <w:p w14:paraId="5BA04344" w14:textId="12EFA781" w:rsidR="00C47D68" w:rsidRPr="00C44C51" w:rsidRDefault="00C47D68" w:rsidP="00C4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279 884</w:t>
            </w:r>
          </w:p>
        </w:tc>
      </w:tr>
    </w:tbl>
    <w:p w14:paraId="3E25C158" w14:textId="2CE74C7C" w:rsidR="00C47D68" w:rsidRDefault="00C47D68" w:rsidP="00C47D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06DEBF1" w14:textId="5BD0664A" w:rsidR="002D4EF2" w:rsidRPr="002D4EF2" w:rsidRDefault="002D4EF2" w:rsidP="00C47D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Данные таблицы 3 свидетельствуют о том, что многие физические лица предпочитают делать вклады в банки с государственным участием. В пятерку рейтинга вошли банки с государственным участием: вклады физических лиц в Сбербанк </w:t>
      </w:r>
      <w:r w:rsidRPr="009A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- 9 638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845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млн. рублей</w:t>
      </w:r>
      <w:r w:rsidRPr="009A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ВТБ - 2 791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A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797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млн. рублей. Таким образом, банки с государственным участием для клиента намного надежнее и финансово устойчивее.</w:t>
      </w:r>
    </w:p>
    <w:p w14:paraId="4227979F" w14:textId="0E26D4BA" w:rsidR="003469C7" w:rsidRDefault="002D4EF2" w:rsidP="003469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Дальнейшее исследование определяет необходимость проведения корреляционного анализ</w:t>
      </w:r>
      <w:r w:rsidR="00B314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подтверждения выдвинутой гипотезы. Лидером рейтингов по ключевым показателям деятельности коммер</w:t>
      </w:r>
      <w:r w:rsidR="00312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банков является Сбербанк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(табл.2,3)</w:t>
      </w:r>
      <w:r w:rsidR="00312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начало 2023 года величина активов Сбербанка составила </w:t>
      </w:r>
      <w:r w:rsidRPr="009A6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32 520 553 846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следовательно, за основу для проведения расчетов можно взять статистические показатели данного банка, а также народный рейтинг, который строится на уровне обслуживания и качества услуг в банках.</w:t>
      </w:r>
      <w:r w:rsidR="00346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Устойчивость банка будет выражаться </w:t>
      </w:r>
      <w:r w:rsidR="003126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46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способност</w:t>
      </w:r>
      <w:r w:rsidR="00345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46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пассивную базу, связанную с привлечением средств</w:t>
      </w:r>
      <w:r w:rsidR="00C216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физических лиц.</w:t>
      </w:r>
    </w:p>
    <w:p w14:paraId="672903C2" w14:textId="77777777" w:rsidR="00B370F3" w:rsidRPr="00B370F3" w:rsidRDefault="00B370F3" w:rsidP="00B370F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проведения анализа построим модель на основе коэффициента корреляции Пирсона: </w:t>
      </w:r>
    </w:p>
    <w:p w14:paraId="2B821D78" w14:textId="77777777" w:rsidR="00B370F3" w:rsidRPr="00B370F3" w:rsidRDefault="00B370F3" w:rsidP="00B370F3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(x-</m:t>
                </m:r>
                <m:acc>
                  <m:accPr>
                    <m:chr m:val="̌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)(y-</m:t>
                </m:r>
                <m:acc>
                  <m:accPr>
                    <m:chr m:val="̌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(x-</m:t>
                        </m:r>
                        <m:acc>
                          <m:accPr>
                            <m:chr m:val="̌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(y-</m:t>
                        </m:r>
                        <m:acc>
                          <m:accPr>
                            <m:chr m:val="̌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  <w:r w:rsidRPr="00B370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B370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(1)</w:t>
      </w:r>
    </w:p>
    <w:p w14:paraId="39B13EF7" w14:textId="77777777" w:rsidR="00B370F3" w:rsidRPr="00B370F3" w:rsidRDefault="00B370F3" w:rsidP="00B370F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</w:rPr>
        <w:t>где, r – коэффициент корреляции;</w:t>
      </w:r>
    </w:p>
    <w:p w14:paraId="5FC95050" w14:textId="77777777" w:rsidR="00B370F3" w:rsidRPr="00B370F3" w:rsidRDefault="00B370F3" w:rsidP="00B370F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</w:rPr>
        <w:t>x – факторный признак;</w:t>
      </w:r>
    </w:p>
    <w:p w14:paraId="491AEAF3" w14:textId="77777777" w:rsidR="00B370F3" w:rsidRPr="00B370F3" w:rsidRDefault="00B370F3" w:rsidP="00B370F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</w:rPr>
        <w:t>y – результирующая переменная.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</w:t>
      </w:r>
    </w:p>
    <w:p w14:paraId="4680F38E" w14:textId="44ABD761" w:rsidR="002D4EF2" w:rsidRPr="00B370F3" w:rsidRDefault="00B370F3" w:rsidP="00B37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сходными значениями факторного признака 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являются значения народного рейтинга ПАО «Сбербанк» за период 2017 – 2022 гг., результирующая переменная – </w:t>
      </w:r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вклады физических лиц</w:t>
      </w:r>
      <w:proofErr w:type="gramStart"/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2D4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абл. 4</w:t>
      </w:r>
      <w:r w:rsidR="00346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,5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1E962110" w14:textId="64781428" w:rsidR="00B370F3" w:rsidRPr="00B370F3" w:rsidRDefault="003469C7" w:rsidP="00B370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</w:t>
      </w:r>
      <w:r w:rsidR="00B370F3"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Народный рейтинг ПАО «Сбербанк»</w:t>
      </w:r>
      <w:r w:rsidR="002D5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(%) [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B370F3"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694"/>
        <w:gridCol w:w="1560"/>
      </w:tblGrid>
      <w:tr w:rsidR="00B370F3" w:rsidRPr="00B370F3" w14:paraId="6E34ECB4" w14:textId="77777777" w:rsidTr="008970A7">
        <w:trPr>
          <w:jc w:val="center"/>
        </w:trPr>
        <w:tc>
          <w:tcPr>
            <w:tcW w:w="846" w:type="dxa"/>
          </w:tcPr>
          <w:p w14:paraId="007F3038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94" w:type="dxa"/>
          </w:tcPr>
          <w:p w14:paraId="2A6979CF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Годы</w:t>
            </w:r>
          </w:p>
        </w:tc>
        <w:tc>
          <w:tcPr>
            <w:tcW w:w="1560" w:type="dxa"/>
          </w:tcPr>
          <w:p w14:paraId="2B72CD26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Рейтинг</w:t>
            </w:r>
          </w:p>
        </w:tc>
      </w:tr>
      <w:tr w:rsidR="00B370F3" w:rsidRPr="00B370F3" w14:paraId="2D4B30B8" w14:textId="77777777" w:rsidTr="008970A7">
        <w:trPr>
          <w:jc w:val="center"/>
        </w:trPr>
        <w:tc>
          <w:tcPr>
            <w:tcW w:w="846" w:type="dxa"/>
          </w:tcPr>
          <w:p w14:paraId="7F6998E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94" w:type="dxa"/>
          </w:tcPr>
          <w:p w14:paraId="111CDB7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1560" w:type="dxa"/>
          </w:tcPr>
          <w:p w14:paraId="1B1C71EC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22.37</w:t>
            </w:r>
          </w:p>
        </w:tc>
      </w:tr>
      <w:tr w:rsidR="00B370F3" w:rsidRPr="00B370F3" w14:paraId="2ABF7EED" w14:textId="77777777" w:rsidTr="008970A7">
        <w:trPr>
          <w:jc w:val="center"/>
        </w:trPr>
        <w:tc>
          <w:tcPr>
            <w:tcW w:w="846" w:type="dxa"/>
          </w:tcPr>
          <w:p w14:paraId="3898CF5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694" w:type="dxa"/>
          </w:tcPr>
          <w:p w14:paraId="59574E44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1560" w:type="dxa"/>
          </w:tcPr>
          <w:p w14:paraId="056264B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24.36</w:t>
            </w:r>
          </w:p>
        </w:tc>
      </w:tr>
      <w:tr w:rsidR="00B370F3" w:rsidRPr="00B370F3" w14:paraId="582E0C73" w14:textId="77777777" w:rsidTr="008970A7">
        <w:trPr>
          <w:jc w:val="center"/>
        </w:trPr>
        <w:tc>
          <w:tcPr>
            <w:tcW w:w="846" w:type="dxa"/>
          </w:tcPr>
          <w:p w14:paraId="0F7522E4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694" w:type="dxa"/>
          </w:tcPr>
          <w:p w14:paraId="1BC841AC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560" w:type="dxa"/>
          </w:tcPr>
          <w:p w14:paraId="6C8C29D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31.32</w:t>
            </w:r>
          </w:p>
        </w:tc>
      </w:tr>
      <w:tr w:rsidR="00B370F3" w:rsidRPr="00B370F3" w14:paraId="18661B52" w14:textId="77777777" w:rsidTr="008970A7">
        <w:trPr>
          <w:jc w:val="center"/>
        </w:trPr>
        <w:tc>
          <w:tcPr>
            <w:tcW w:w="846" w:type="dxa"/>
          </w:tcPr>
          <w:p w14:paraId="79A06E9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1694" w:type="dxa"/>
          </w:tcPr>
          <w:p w14:paraId="1AC0913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560" w:type="dxa"/>
          </w:tcPr>
          <w:p w14:paraId="6890DC73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30.36</w:t>
            </w:r>
          </w:p>
        </w:tc>
      </w:tr>
      <w:tr w:rsidR="00B370F3" w:rsidRPr="00B370F3" w14:paraId="4A82C241" w14:textId="77777777" w:rsidTr="008970A7">
        <w:trPr>
          <w:jc w:val="center"/>
        </w:trPr>
        <w:tc>
          <w:tcPr>
            <w:tcW w:w="846" w:type="dxa"/>
          </w:tcPr>
          <w:p w14:paraId="2032CFB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94" w:type="dxa"/>
          </w:tcPr>
          <w:p w14:paraId="5857586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560" w:type="dxa"/>
          </w:tcPr>
          <w:p w14:paraId="29E8293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28.78</w:t>
            </w:r>
          </w:p>
        </w:tc>
      </w:tr>
      <w:tr w:rsidR="00B370F3" w:rsidRPr="00B370F3" w14:paraId="2DF4FD73" w14:textId="77777777" w:rsidTr="008970A7">
        <w:trPr>
          <w:jc w:val="center"/>
        </w:trPr>
        <w:tc>
          <w:tcPr>
            <w:tcW w:w="846" w:type="dxa"/>
          </w:tcPr>
          <w:p w14:paraId="15632131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94" w:type="dxa"/>
          </w:tcPr>
          <w:p w14:paraId="16FD05A8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560" w:type="dxa"/>
          </w:tcPr>
          <w:p w14:paraId="03CEC1F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27.67</w:t>
            </w:r>
          </w:p>
        </w:tc>
      </w:tr>
    </w:tbl>
    <w:p w14:paraId="2AABE5E4" w14:textId="77777777" w:rsidR="00B370F3" w:rsidRPr="00B370F3" w:rsidRDefault="00B370F3" w:rsidP="00B37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9F2FC0" w14:textId="36D2035A" w:rsidR="00B370F3" w:rsidRPr="00B370F3" w:rsidRDefault="003469C7" w:rsidP="00B370F3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5</w:t>
      </w:r>
      <w:r w:rsidR="00B370F3"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Вклады физических лиц ПАО «Сбербанк» 2017-2022 гг. </w:t>
      </w:r>
      <w:r w:rsidR="002D50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374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B370F3"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1276"/>
        <w:gridCol w:w="2977"/>
      </w:tblGrid>
      <w:tr w:rsidR="00B370F3" w:rsidRPr="00B370F3" w14:paraId="07247628" w14:textId="77777777" w:rsidTr="008970A7">
        <w:trPr>
          <w:jc w:val="center"/>
        </w:trPr>
        <w:tc>
          <w:tcPr>
            <w:tcW w:w="845" w:type="dxa"/>
          </w:tcPr>
          <w:p w14:paraId="38F79D03" w14:textId="77777777" w:rsidR="00B370F3" w:rsidRPr="00654722" w:rsidRDefault="00B370F3" w:rsidP="008970A7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14:paraId="0E4F41C7" w14:textId="77777777" w:rsidR="00B370F3" w:rsidRPr="00654722" w:rsidRDefault="00B370F3" w:rsidP="008970A7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Годы</w:t>
            </w:r>
          </w:p>
        </w:tc>
        <w:tc>
          <w:tcPr>
            <w:tcW w:w="2977" w:type="dxa"/>
          </w:tcPr>
          <w:p w14:paraId="119B1FED" w14:textId="77777777" w:rsidR="00B370F3" w:rsidRPr="00654722" w:rsidRDefault="00B370F3" w:rsidP="008970A7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Вклады  физ. лиц (млн.)</w:t>
            </w:r>
            <w:r w:rsidRPr="006547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B370F3" w:rsidRPr="00B370F3" w14:paraId="7F3BE2EF" w14:textId="77777777" w:rsidTr="008970A7">
        <w:trPr>
          <w:jc w:val="center"/>
        </w:trPr>
        <w:tc>
          <w:tcPr>
            <w:tcW w:w="845" w:type="dxa"/>
          </w:tcPr>
          <w:p w14:paraId="1CD592B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4869E9B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2977" w:type="dxa"/>
          </w:tcPr>
          <w:p w14:paraId="2238FC83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11 414</w:t>
            </w:r>
          </w:p>
        </w:tc>
      </w:tr>
      <w:tr w:rsidR="00B370F3" w:rsidRPr="00B370F3" w14:paraId="6E6056D7" w14:textId="77777777" w:rsidTr="008970A7">
        <w:trPr>
          <w:jc w:val="center"/>
        </w:trPr>
        <w:tc>
          <w:tcPr>
            <w:tcW w:w="845" w:type="dxa"/>
          </w:tcPr>
          <w:p w14:paraId="377DF79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7691278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2977" w:type="dxa"/>
          </w:tcPr>
          <w:p w14:paraId="39A79DD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12 182</w:t>
            </w:r>
          </w:p>
        </w:tc>
      </w:tr>
      <w:tr w:rsidR="00B370F3" w:rsidRPr="00B370F3" w14:paraId="0C78673D" w14:textId="77777777" w:rsidTr="008970A7">
        <w:trPr>
          <w:jc w:val="center"/>
        </w:trPr>
        <w:tc>
          <w:tcPr>
            <w:tcW w:w="845" w:type="dxa"/>
          </w:tcPr>
          <w:p w14:paraId="00F0665A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14:paraId="2193421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2977" w:type="dxa"/>
          </w:tcPr>
          <w:p w14:paraId="295A68E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12 768</w:t>
            </w:r>
          </w:p>
        </w:tc>
      </w:tr>
      <w:tr w:rsidR="00B370F3" w:rsidRPr="00B370F3" w14:paraId="6C3C1CAE" w14:textId="77777777" w:rsidTr="008970A7">
        <w:trPr>
          <w:jc w:val="center"/>
        </w:trPr>
        <w:tc>
          <w:tcPr>
            <w:tcW w:w="845" w:type="dxa"/>
          </w:tcPr>
          <w:p w14:paraId="021D5928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3AF20206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2977" w:type="dxa"/>
          </w:tcPr>
          <w:p w14:paraId="71448200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14 024</w:t>
            </w:r>
          </w:p>
        </w:tc>
      </w:tr>
      <w:tr w:rsidR="00B370F3" w:rsidRPr="00B370F3" w14:paraId="377201DD" w14:textId="77777777" w:rsidTr="008970A7">
        <w:trPr>
          <w:jc w:val="center"/>
        </w:trPr>
        <w:tc>
          <w:tcPr>
            <w:tcW w:w="845" w:type="dxa"/>
          </w:tcPr>
          <w:p w14:paraId="5925219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00868ABB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2977" w:type="dxa"/>
          </w:tcPr>
          <w:p w14:paraId="4484D87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14 685</w:t>
            </w:r>
          </w:p>
        </w:tc>
      </w:tr>
      <w:tr w:rsidR="00B370F3" w:rsidRPr="00B370F3" w14:paraId="18E1EEE3" w14:textId="77777777" w:rsidTr="008970A7">
        <w:trPr>
          <w:jc w:val="center"/>
        </w:trPr>
        <w:tc>
          <w:tcPr>
            <w:tcW w:w="845" w:type="dxa"/>
          </w:tcPr>
          <w:p w14:paraId="2BBE410C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14:paraId="3CD220F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2977" w:type="dxa"/>
          </w:tcPr>
          <w:p w14:paraId="6447284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18 336</w:t>
            </w:r>
          </w:p>
        </w:tc>
      </w:tr>
    </w:tbl>
    <w:p w14:paraId="2E9636EF" w14:textId="77777777" w:rsidR="00B370F3" w:rsidRPr="00B370F3" w:rsidRDefault="00B370F3" w:rsidP="00B370F3">
      <w:pPr>
        <w:tabs>
          <w:tab w:val="left" w:pos="190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C638B4" w14:textId="10472FB3" w:rsidR="00B370F3" w:rsidRPr="00B370F3" w:rsidRDefault="00C216B0" w:rsidP="00B370F3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6</w:t>
      </w:r>
      <w:r w:rsidR="00B370F3" w:rsidRPr="00B370F3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Результаты расчетов коэффициента корреляции.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66"/>
        <w:gridCol w:w="766"/>
        <w:gridCol w:w="1166"/>
        <w:gridCol w:w="1016"/>
        <w:gridCol w:w="1116"/>
      </w:tblGrid>
      <w:tr w:rsidR="00B370F3" w:rsidRPr="00B370F3" w14:paraId="61228C82" w14:textId="77777777" w:rsidTr="008970A7">
        <w:trPr>
          <w:jc w:val="center"/>
        </w:trPr>
        <w:tc>
          <w:tcPr>
            <w:tcW w:w="704" w:type="dxa"/>
          </w:tcPr>
          <w:p w14:paraId="767A2EF9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97" w:type="dxa"/>
          </w:tcPr>
          <w:p w14:paraId="486901A4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x</w:t>
            </w:r>
          </w:p>
        </w:tc>
        <w:tc>
          <w:tcPr>
            <w:tcW w:w="0" w:type="auto"/>
          </w:tcPr>
          <w:p w14:paraId="7F70BBBA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</w:t>
            </w:r>
          </w:p>
        </w:tc>
        <w:tc>
          <w:tcPr>
            <w:tcW w:w="0" w:type="auto"/>
          </w:tcPr>
          <w:p w14:paraId="22DED5E5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xy</w:t>
            </w:r>
            <w:proofErr w:type="spellEnd"/>
          </w:p>
        </w:tc>
        <w:tc>
          <w:tcPr>
            <w:tcW w:w="0" w:type="auto"/>
          </w:tcPr>
          <w:p w14:paraId="59C06777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54E1FB0" w14:textId="77777777" w:rsidR="00B370F3" w:rsidRPr="00654722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</w:t>
            </w:r>
            <w:r w:rsidRPr="006547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370F3" w:rsidRPr="00B370F3" w14:paraId="6AD8BADC" w14:textId="77777777" w:rsidTr="008970A7">
        <w:trPr>
          <w:jc w:val="center"/>
        </w:trPr>
        <w:tc>
          <w:tcPr>
            <w:tcW w:w="704" w:type="dxa"/>
          </w:tcPr>
          <w:p w14:paraId="057554C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7" w:type="dxa"/>
          </w:tcPr>
          <w:p w14:paraId="01434D2A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22.37</w:t>
            </w:r>
          </w:p>
        </w:tc>
        <w:tc>
          <w:tcPr>
            <w:tcW w:w="0" w:type="auto"/>
          </w:tcPr>
          <w:p w14:paraId="0DF3EE1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11 414</w:t>
            </w:r>
          </w:p>
        </w:tc>
        <w:tc>
          <w:tcPr>
            <w:tcW w:w="0" w:type="auto"/>
          </w:tcPr>
          <w:p w14:paraId="6200E9A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255331.18</w:t>
            </w:r>
          </w:p>
        </w:tc>
        <w:tc>
          <w:tcPr>
            <w:tcW w:w="0" w:type="auto"/>
          </w:tcPr>
          <w:p w14:paraId="58108B1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500.4169</w:t>
            </w:r>
          </w:p>
        </w:tc>
        <w:tc>
          <w:tcPr>
            <w:tcW w:w="0" w:type="auto"/>
          </w:tcPr>
          <w:p w14:paraId="0DB4C43B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130279396</w:t>
            </w:r>
          </w:p>
        </w:tc>
      </w:tr>
      <w:tr w:rsidR="00B370F3" w:rsidRPr="00B370F3" w14:paraId="776BE413" w14:textId="77777777" w:rsidTr="008970A7">
        <w:trPr>
          <w:jc w:val="center"/>
        </w:trPr>
        <w:tc>
          <w:tcPr>
            <w:tcW w:w="704" w:type="dxa"/>
          </w:tcPr>
          <w:p w14:paraId="1785894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97" w:type="dxa"/>
          </w:tcPr>
          <w:p w14:paraId="78F120B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24.36</w:t>
            </w:r>
          </w:p>
        </w:tc>
        <w:tc>
          <w:tcPr>
            <w:tcW w:w="0" w:type="auto"/>
          </w:tcPr>
          <w:p w14:paraId="55811333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12 182</w:t>
            </w:r>
          </w:p>
        </w:tc>
        <w:tc>
          <w:tcPr>
            <w:tcW w:w="0" w:type="auto"/>
          </w:tcPr>
          <w:p w14:paraId="53CA7C2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296753.52</w:t>
            </w:r>
          </w:p>
        </w:tc>
        <w:tc>
          <w:tcPr>
            <w:tcW w:w="0" w:type="auto"/>
          </w:tcPr>
          <w:p w14:paraId="1A09718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593.40.96</w:t>
            </w:r>
          </w:p>
        </w:tc>
        <w:tc>
          <w:tcPr>
            <w:tcW w:w="0" w:type="auto"/>
          </w:tcPr>
          <w:p w14:paraId="77544870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148401124</w:t>
            </w:r>
          </w:p>
        </w:tc>
      </w:tr>
      <w:tr w:rsidR="00B370F3" w:rsidRPr="00B370F3" w14:paraId="08ADDC23" w14:textId="77777777" w:rsidTr="008970A7">
        <w:trPr>
          <w:jc w:val="center"/>
        </w:trPr>
        <w:tc>
          <w:tcPr>
            <w:tcW w:w="704" w:type="dxa"/>
          </w:tcPr>
          <w:p w14:paraId="0119A29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97" w:type="dxa"/>
          </w:tcPr>
          <w:p w14:paraId="4F8048A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31.32</w:t>
            </w:r>
          </w:p>
        </w:tc>
        <w:tc>
          <w:tcPr>
            <w:tcW w:w="0" w:type="auto"/>
          </w:tcPr>
          <w:p w14:paraId="07705D41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12 768</w:t>
            </w:r>
          </w:p>
        </w:tc>
        <w:tc>
          <w:tcPr>
            <w:tcW w:w="0" w:type="auto"/>
          </w:tcPr>
          <w:p w14:paraId="7CB64E1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399893.76</w:t>
            </w:r>
          </w:p>
        </w:tc>
        <w:tc>
          <w:tcPr>
            <w:tcW w:w="0" w:type="auto"/>
          </w:tcPr>
          <w:p w14:paraId="78DED37F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980.94.24</w:t>
            </w:r>
          </w:p>
        </w:tc>
        <w:tc>
          <w:tcPr>
            <w:tcW w:w="0" w:type="auto"/>
          </w:tcPr>
          <w:p w14:paraId="176494D1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163021824</w:t>
            </w:r>
          </w:p>
        </w:tc>
      </w:tr>
      <w:tr w:rsidR="00B370F3" w:rsidRPr="00B370F3" w14:paraId="37BFFB0A" w14:textId="77777777" w:rsidTr="008970A7">
        <w:trPr>
          <w:jc w:val="center"/>
        </w:trPr>
        <w:tc>
          <w:tcPr>
            <w:tcW w:w="704" w:type="dxa"/>
          </w:tcPr>
          <w:p w14:paraId="10E2E5C3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97" w:type="dxa"/>
          </w:tcPr>
          <w:p w14:paraId="6B95226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30.36</w:t>
            </w:r>
          </w:p>
        </w:tc>
        <w:tc>
          <w:tcPr>
            <w:tcW w:w="0" w:type="auto"/>
          </w:tcPr>
          <w:p w14:paraId="5355F54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14 024</w:t>
            </w:r>
          </w:p>
        </w:tc>
        <w:tc>
          <w:tcPr>
            <w:tcW w:w="0" w:type="auto"/>
          </w:tcPr>
          <w:p w14:paraId="23B07F30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425768.64</w:t>
            </w:r>
          </w:p>
        </w:tc>
        <w:tc>
          <w:tcPr>
            <w:tcW w:w="0" w:type="auto"/>
          </w:tcPr>
          <w:p w14:paraId="450C23B6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921.7296</w:t>
            </w:r>
          </w:p>
        </w:tc>
        <w:tc>
          <w:tcPr>
            <w:tcW w:w="0" w:type="auto"/>
          </w:tcPr>
          <w:p w14:paraId="7DC2DDB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196672576</w:t>
            </w:r>
          </w:p>
        </w:tc>
      </w:tr>
      <w:tr w:rsidR="00B370F3" w:rsidRPr="00B370F3" w14:paraId="61C87676" w14:textId="77777777" w:rsidTr="008970A7">
        <w:trPr>
          <w:jc w:val="center"/>
        </w:trPr>
        <w:tc>
          <w:tcPr>
            <w:tcW w:w="704" w:type="dxa"/>
          </w:tcPr>
          <w:p w14:paraId="5B0E6E6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97" w:type="dxa"/>
          </w:tcPr>
          <w:p w14:paraId="53AE08A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28.78</w:t>
            </w:r>
          </w:p>
        </w:tc>
        <w:tc>
          <w:tcPr>
            <w:tcW w:w="0" w:type="auto"/>
          </w:tcPr>
          <w:p w14:paraId="568E16ED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14 685</w:t>
            </w:r>
          </w:p>
        </w:tc>
        <w:tc>
          <w:tcPr>
            <w:tcW w:w="0" w:type="auto"/>
          </w:tcPr>
          <w:p w14:paraId="24126767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422634.3</w:t>
            </w:r>
          </w:p>
        </w:tc>
        <w:tc>
          <w:tcPr>
            <w:tcW w:w="0" w:type="auto"/>
          </w:tcPr>
          <w:p w14:paraId="7115A412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828.2884</w:t>
            </w:r>
          </w:p>
        </w:tc>
        <w:tc>
          <w:tcPr>
            <w:tcW w:w="0" w:type="auto"/>
          </w:tcPr>
          <w:p w14:paraId="6644359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215649225</w:t>
            </w:r>
          </w:p>
        </w:tc>
      </w:tr>
      <w:tr w:rsidR="00B370F3" w:rsidRPr="00B370F3" w14:paraId="3FBF5C0F" w14:textId="77777777" w:rsidTr="008970A7">
        <w:trPr>
          <w:jc w:val="center"/>
        </w:trPr>
        <w:tc>
          <w:tcPr>
            <w:tcW w:w="704" w:type="dxa"/>
          </w:tcPr>
          <w:p w14:paraId="627564D5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97" w:type="dxa"/>
          </w:tcPr>
          <w:p w14:paraId="4CAA22A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27.67</w:t>
            </w:r>
          </w:p>
        </w:tc>
        <w:tc>
          <w:tcPr>
            <w:tcW w:w="0" w:type="auto"/>
          </w:tcPr>
          <w:p w14:paraId="36007AB9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18 336</w:t>
            </w:r>
          </w:p>
        </w:tc>
        <w:tc>
          <w:tcPr>
            <w:tcW w:w="0" w:type="auto"/>
          </w:tcPr>
          <w:p w14:paraId="4B70D011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2307738.52</w:t>
            </w:r>
          </w:p>
        </w:tc>
        <w:tc>
          <w:tcPr>
            <w:tcW w:w="0" w:type="auto"/>
          </w:tcPr>
          <w:p w14:paraId="41EAF33E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765.6289</w:t>
            </w:r>
          </w:p>
        </w:tc>
        <w:tc>
          <w:tcPr>
            <w:tcW w:w="0" w:type="auto"/>
          </w:tcPr>
          <w:p w14:paraId="6D826DE8" w14:textId="77777777" w:rsidR="00B370F3" w:rsidRPr="00C44C51" w:rsidRDefault="00B370F3" w:rsidP="008970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4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336208896</w:t>
            </w:r>
          </w:p>
        </w:tc>
      </w:tr>
    </w:tbl>
    <w:p w14:paraId="2B3B922D" w14:textId="77777777" w:rsidR="00B370F3" w:rsidRPr="00B370F3" w:rsidRDefault="00B370F3" w:rsidP="00B370F3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14:paraId="347CFB2C" w14:textId="3BDE5146" w:rsidR="00B370F3" w:rsidRPr="003469C7" w:rsidRDefault="00B370F3" w:rsidP="003469C7">
      <w:pPr>
        <w:pStyle w:val="a4"/>
        <w:spacing w:after="0" w:line="36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 (2307738.52-164.86*(83409/6))</w:t>
      </w:r>
      <w:proofErr w:type="gramStart"/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/(</w:t>
      </w:r>
      <w:proofErr w:type="gramEnd"/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√ ((4590.4158-164.86*164.86/6)*(1190233041-83409*83409/6))=0.3693 (2)</w:t>
      </w:r>
    </w:p>
    <w:p w14:paraId="39BC88EC" w14:textId="77777777" w:rsidR="00B370F3" w:rsidRPr="00B370F3" w:rsidRDefault="00B370F3" w:rsidP="00B370F3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Полученное значение коэффициента корреляции (0.3693) подтверждает предположение о наличии прямой связи между факторами X и 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</w:t>
      </w:r>
      <w:r w:rsidRPr="00B370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Величина коэффициента корреляции показывает, что связь между факторами слабая. </w:t>
      </w:r>
    </w:p>
    <w:p w14:paraId="1797D9C3" w14:textId="70307059" w:rsidR="0081760A" w:rsidRDefault="0081760A" w:rsidP="0081760A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проведенный анализ показал, 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 w:rsidR="00C45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предположение 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взаимосвязи показателя народного рейтинга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привлечен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физических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(вкладов) </w:t>
      </w:r>
      <w:r w:rsidR="00C45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обосновано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неоспоримо утверждение, что у</w:t>
      </w:r>
      <w:r w:rsidRPr="00467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стойчивость банка выраж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ается</w:t>
      </w:r>
      <w:r w:rsidRPr="004672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его способности формировать пассивную базу, связанную с привлечением средств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789D3C0" w14:textId="0AD6A7FF" w:rsidR="0081760A" w:rsidRPr="00D92406" w:rsidRDefault="00BB099D" w:rsidP="0081760A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заключении можно сделать вывод о том, что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</w:t>
      </w:r>
      <w:r w:rsidR="0083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финансовой глобализации, внешних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вызовов </w:t>
      </w:r>
      <w:r w:rsidR="0083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шоков 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риоритетным направлением в 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развитии банковского сектора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обеспечения экономической безопасности банковской системы в целом, </w:t>
      </w:r>
      <w:r w:rsidR="0083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немаловажным остается вопрос 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</w:t>
      </w:r>
      <w:r w:rsidR="0083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финансовой устойчивости </w:t>
      </w:r>
      <w:r w:rsidR="0083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российских банков </w:t>
      </w:r>
      <w:r w:rsidR="0081760A" w:rsidRPr="009B3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счет доверия потребителей.</w:t>
      </w:r>
      <w:r w:rsidR="00817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2E68AE22" w14:textId="77777777" w:rsidR="002D500A" w:rsidRDefault="002D500A" w:rsidP="002D50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Литература:</w:t>
      </w:r>
    </w:p>
    <w:p w14:paraId="6ADDD607" w14:textId="10251FFF" w:rsidR="00553F19" w:rsidRPr="00553F19" w:rsidRDefault="00553F19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3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Лебедева М.Е., </w:t>
      </w:r>
      <w:proofErr w:type="spellStart"/>
      <w:r w:rsidRPr="00553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Тростьянский</w:t>
      </w:r>
      <w:proofErr w:type="spellEnd"/>
      <w:r w:rsidRPr="00553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С.С. Цифровая зрелость банковского сектора в различных странах: базовые условия для дальнейшего развития. </w:t>
      </w:r>
      <w:r w:rsidRPr="00553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Известия Санкт-Петербургского государственного экономического университета. 2021. № 4 (130). С. 35-44.</w:t>
      </w:r>
    </w:p>
    <w:p w14:paraId="00ED1B6B" w14:textId="1C10D53C" w:rsidR="002D500A" w:rsidRPr="00BF35CF" w:rsidRDefault="002D500A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Мусханова</w:t>
      </w:r>
      <w:proofErr w:type="spellEnd"/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Х. Ж. Устойчивость национальной банковской системы: идентификация и параметризация</w:t>
      </w:r>
      <w:r w:rsidR="00553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Вестник Института дружбы народов Кавказа (Теория экономики и управления народным хозяйством). Экономичес</w:t>
      </w:r>
      <w:r w:rsidR="001B0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кие науки. 2020. № 4(56).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EDN AGRQSN.</w:t>
      </w:r>
    </w:p>
    <w:p w14:paraId="23419786" w14:textId="671F957B" w:rsidR="002D500A" w:rsidRPr="00BF35CF" w:rsidRDefault="002D500A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Овчинникова</w:t>
      </w:r>
      <w:proofErr w:type="spellEnd"/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О.П., </w:t>
      </w:r>
      <w:proofErr w:type="spellStart"/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>Бец</w:t>
      </w:r>
      <w:proofErr w:type="spellEnd"/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Методы прогнозирования нарушений устойчивости коммерческого банка и разработка антикризисных программ развития региональных банковских систем // Сибирская финансовая школа. </w:t>
      </w:r>
      <w:r w:rsidR="001B0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2006. № 3 (60). </w:t>
      </w:r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>С. 80–84.</w:t>
      </w:r>
    </w:p>
    <w:p w14:paraId="0FC31585" w14:textId="5C4F3456" w:rsidR="001714B8" w:rsidRPr="001714B8" w:rsidRDefault="001714B8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Тавбулатова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З.К., </w:t>
      </w: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Таштамиров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стойчивость мировой банковской системы в условиях </w:t>
      </w: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коронакризиса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</w:t>
      </w:r>
      <w:r w:rsidRPr="001714B8">
        <w:t xml:space="preserve"> </w:t>
      </w:r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Ученые записки Международного банковского института. 2021. № 1 (35). С. 140-155.</w:t>
      </w:r>
    </w:p>
    <w:p w14:paraId="1C44ED7D" w14:textId="0A9D87EE" w:rsidR="002D500A" w:rsidRPr="001714B8" w:rsidRDefault="002D500A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Тавбулатова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З.К., </w:t>
      </w: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Мусханова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Х.Ж., </w:t>
      </w:r>
      <w:proofErr w:type="spellStart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>Куриев</w:t>
      </w:r>
      <w:proofErr w:type="spellEnd"/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З.Д. Инструменты и подходы в оценке устойчивости банковской системы РФ. Ученые записки Крымского инженерно-педагог</w:t>
      </w:r>
      <w:r w:rsidR="001B0998">
        <w:rPr>
          <w:rFonts w:ascii="Times New Roman" w:hAnsi="Times New Roman" w:cs="Times New Roman"/>
          <w:color w:val="000000" w:themeColor="text1"/>
          <w:sz w:val="28"/>
          <w:szCs w:val="28"/>
        </w:rPr>
        <w:t>ического университета. 2019.</w:t>
      </w:r>
      <w:r w:rsidRPr="0017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(66). С. 227-235.</w:t>
      </w:r>
    </w:p>
    <w:p w14:paraId="27863B0E" w14:textId="6E8593BD" w:rsidR="00080157" w:rsidRPr="00374A2D" w:rsidRDefault="002D500A" w:rsidP="00374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Рейтинги банков [Электронный ресурс] сайт Banki.ru. – Режим доступа: </w:t>
      </w:r>
      <w:hyperlink r:id="rId7" w:history="1">
        <w:r w:rsidR="00080157" w:rsidRPr="00ED113E">
          <w:rPr>
            <w:rStyle w:val="a7"/>
            <w:rFonts w:ascii="Times New Roman" w:hAnsi="Times New Roman" w:cs="Times New Roman"/>
            <w:sz w:val="28"/>
            <w:szCs w:val="28"/>
          </w:rPr>
          <w:t>https://www.banki.ru</w:t>
        </w:r>
      </w:hyperlink>
      <w:r w:rsidR="00706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06.03.2023)</w:t>
      </w:r>
    </w:p>
    <w:p w14:paraId="0BD9150A" w14:textId="1581B1B3" w:rsidR="002D500A" w:rsidRDefault="002D500A" w:rsidP="00553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CF">
        <w:rPr>
          <w:rFonts w:ascii="Times New Roman" w:hAnsi="Times New Roman" w:cs="Times New Roman"/>
          <w:sz w:val="28"/>
          <w:szCs w:val="28"/>
        </w:rPr>
        <w:t xml:space="preserve">Статистические показатели банковского сектора Российской Федерации. [Электронный ресурс] Сайт Банка России. Режим доступа: </w:t>
      </w:r>
      <w:hyperlink r:id="rId8" w:history="1">
        <w:r w:rsidR="00616D98" w:rsidRPr="00ED113E">
          <w:rPr>
            <w:rStyle w:val="a7"/>
            <w:rFonts w:ascii="Times New Roman" w:hAnsi="Times New Roman" w:cs="Times New Roman"/>
            <w:sz w:val="28"/>
            <w:szCs w:val="28"/>
          </w:rPr>
          <w:t>http://www.cbr.ru</w:t>
        </w:r>
      </w:hyperlink>
      <w:r w:rsidR="0070640C">
        <w:rPr>
          <w:rFonts w:ascii="Times New Roman" w:hAnsi="Times New Roman" w:cs="Times New Roman"/>
          <w:sz w:val="28"/>
          <w:szCs w:val="28"/>
        </w:rPr>
        <w:t xml:space="preserve"> (дата обращения 28.02.2023)</w:t>
      </w:r>
    </w:p>
    <w:p w14:paraId="0A0954B8" w14:textId="46A8A9BB" w:rsidR="0070640C" w:rsidRPr="0070640C" w:rsidRDefault="00616D98" w:rsidP="007064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Центрального банка </w:t>
      </w:r>
      <w:hyperlink r:id="rId9" w:history="1">
        <w:r w:rsidR="0070640C" w:rsidRPr="00ED113E">
          <w:rPr>
            <w:rStyle w:val="a7"/>
            <w:rFonts w:ascii="Times New Roman" w:hAnsi="Times New Roman" w:cs="Times New Roman"/>
            <w:sz w:val="28"/>
            <w:szCs w:val="28"/>
          </w:rPr>
          <w:t>https://cbr.ru/about_br/risk/</w:t>
        </w:r>
      </w:hyperlink>
      <w:r w:rsidR="0070640C">
        <w:rPr>
          <w:rFonts w:ascii="Times New Roman" w:hAnsi="Times New Roman" w:cs="Times New Roman"/>
          <w:sz w:val="28"/>
          <w:szCs w:val="28"/>
        </w:rPr>
        <w:t xml:space="preserve"> </w:t>
      </w:r>
      <w:r w:rsidR="0070640C" w:rsidRPr="0070640C">
        <w:rPr>
          <w:rFonts w:ascii="Times New Roman" w:hAnsi="Times New Roman" w:cs="Times New Roman"/>
          <w:sz w:val="28"/>
          <w:szCs w:val="28"/>
        </w:rPr>
        <w:t>(дата обращения 03.03.2023).</w:t>
      </w:r>
    </w:p>
    <w:sectPr w:rsidR="0070640C" w:rsidRPr="0070640C" w:rsidSect="00C65E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C0"/>
    <w:multiLevelType w:val="hybridMultilevel"/>
    <w:tmpl w:val="A978FCB6"/>
    <w:lvl w:ilvl="0" w:tplc="A6D01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7BC5"/>
    <w:multiLevelType w:val="hybridMultilevel"/>
    <w:tmpl w:val="D3B2DA56"/>
    <w:lvl w:ilvl="0" w:tplc="43269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B"/>
    <w:rsid w:val="00001CB1"/>
    <w:rsid w:val="000102A9"/>
    <w:rsid w:val="00071E3F"/>
    <w:rsid w:val="00080157"/>
    <w:rsid w:val="000C6C3A"/>
    <w:rsid w:val="00120896"/>
    <w:rsid w:val="001714B8"/>
    <w:rsid w:val="001B0998"/>
    <w:rsid w:val="001D6B48"/>
    <w:rsid w:val="00236CF8"/>
    <w:rsid w:val="0027650F"/>
    <w:rsid w:val="002B7BEB"/>
    <w:rsid w:val="002D41CF"/>
    <w:rsid w:val="002D48D1"/>
    <w:rsid w:val="002D4EF2"/>
    <w:rsid w:val="002D500A"/>
    <w:rsid w:val="00312693"/>
    <w:rsid w:val="00345AAC"/>
    <w:rsid w:val="003469C7"/>
    <w:rsid w:val="003478F0"/>
    <w:rsid w:val="00374A2D"/>
    <w:rsid w:val="003D335F"/>
    <w:rsid w:val="003D55FA"/>
    <w:rsid w:val="003D57C3"/>
    <w:rsid w:val="00437F26"/>
    <w:rsid w:val="004E71CF"/>
    <w:rsid w:val="004F265F"/>
    <w:rsid w:val="0051320A"/>
    <w:rsid w:val="005215B7"/>
    <w:rsid w:val="00553F19"/>
    <w:rsid w:val="00593A6F"/>
    <w:rsid w:val="005C1459"/>
    <w:rsid w:val="005E139A"/>
    <w:rsid w:val="00616D98"/>
    <w:rsid w:val="00616F6B"/>
    <w:rsid w:val="00654722"/>
    <w:rsid w:val="006C140C"/>
    <w:rsid w:val="0070640C"/>
    <w:rsid w:val="007829A4"/>
    <w:rsid w:val="007A4109"/>
    <w:rsid w:val="007A7419"/>
    <w:rsid w:val="007C0B4B"/>
    <w:rsid w:val="007D195C"/>
    <w:rsid w:val="0081760A"/>
    <w:rsid w:val="0083665A"/>
    <w:rsid w:val="00855375"/>
    <w:rsid w:val="008C57DB"/>
    <w:rsid w:val="008E7ABD"/>
    <w:rsid w:val="00992374"/>
    <w:rsid w:val="009A1870"/>
    <w:rsid w:val="009A637C"/>
    <w:rsid w:val="009A7CE7"/>
    <w:rsid w:val="009C00DA"/>
    <w:rsid w:val="009C4A50"/>
    <w:rsid w:val="009D69AE"/>
    <w:rsid w:val="00A670F6"/>
    <w:rsid w:val="00AA69F3"/>
    <w:rsid w:val="00AE705B"/>
    <w:rsid w:val="00B3145E"/>
    <w:rsid w:val="00B34F6C"/>
    <w:rsid w:val="00B370F3"/>
    <w:rsid w:val="00B72531"/>
    <w:rsid w:val="00B808B2"/>
    <w:rsid w:val="00BB099D"/>
    <w:rsid w:val="00BD2967"/>
    <w:rsid w:val="00C216B0"/>
    <w:rsid w:val="00C241CC"/>
    <w:rsid w:val="00C44C51"/>
    <w:rsid w:val="00C45D4A"/>
    <w:rsid w:val="00C47D68"/>
    <w:rsid w:val="00C60B8B"/>
    <w:rsid w:val="00C65EAA"/>
    <w:rsid w:val="00CF5C65"/>
    <w:rsid w:val="00D43E20"/>
    <w:rsid w:val="00DA0B0D"/>
    <w:rsid w:val="00DA7651"/>
    <w:rsid w:val="00E47E7C"/>
    <w:rsid w:val="00E93E7A"/>
    <w:rsid w:val="00EA1D67"/>
    <w:rsid w:val="00EA2660"/>
    <w:rsid w:val="00F33D0C"/>
    <w:rsid w:val="00F52D65"/>
    <w:rsid w:val="00F622E6"/>
    <w:rsid w:val="00F67BEF"/>
    <w:rsid w:val="00F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F3"/>
    <w:pPr>
      <w:ind w:left="720"/>
      <w:contextualSpacing/>
    </w:pPr>
    <w:rPr>
      <w:kern w:val="0"/>
      <w14:ligatures w14:val="none"/>
    </w:rPr>
  </w:style>
  <w:style w:type="character" w:customStyle="1" w:styleId="bank-rating-sum-val">
    <w:name w:val="bank-rating-sum-val"/>
    <w:basedOn w:val="a0"/>
    <w:rsid w:val="00C47D68"/>
  </w:style>
  <w:style w:type="paragraph" w:styleId="a5">
    <w:name w:val="Balloon Text"/>
    <w:basedOn w:val="a"/>
    <w:link w:val="a6"/>
    <w:uiPriority w:val="99"/>
    <w:semiHidden/>
    <w:unhideWhenUsed/>
    <w:rsid w:val="0017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6D9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64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F3"/>
    <w:pPr>
      <w:ind w:left="720"/>
      <w:contextualSpacing/>
    </w:pPr>
    <w:rPr>
      <w:kern w:val="0"/>
      <w14:ligatures w14:val="none"/>
    </w:rPr>
  </w:style>
  <w:style w:type="character" w:customStyle="1" w:styleId="bank-rating-sum-val">
    <w:name w:val="bank-rating-sum-val"/>
    <w:basedOn w:val="a0"/>
    <w:rsid w:val="00C47D68"/>
  </w:style>
  <w:style w:type="paragraph" w:styleId="a5">
    <w:name w:val="Balloon Text"/>
    <w:basedOn w:val="a"/>
    <w:link w:val="a6"/>
    <w:uiPriority w:val="99"/>
    <w:semiHidden/>
    <w:unhideWhenUsed/>
    <w:rsid w:val="0017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6D9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64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an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br.ru/about_br/risk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доверия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ПАО «Сбербанк»</c:v>
                </c:pt>
                <c:pt idx="1">
                  <c:v>ВТБ</c:v>
                </c:pt>
                <c:pt idx="2">
                  <c:v>Газпромбанк</c:v>
                </c:pt>
                <c:pt idx="3">
                  <c:v>Альфа-банк</c:v>
                </c:pt>
                <c:pt idx="4">
                  <c:v>Райффайзенбанк</c:v>
                </c:pt>
                <c:pt idx="5">
                  <c:v>Совкомбанк</c:v>
                </c:pt>
                <c:pt idx="6">
                  <c:v>Почта банк</c:v>
                </c:pt>
                <c:pt idx="7">
                  <c:v>Росбанк</c:v>
                </c:pt>
                <c:pt idx="8">
                  <c:v>«Открытие»</c:v>
                </c:pt>
                <c:pt idx="9">
                  <c:v>Московский кредитный банк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82</c:v>
                </c:pt>
                <c:pt idx="1">
                  <c:v>74</c:v>
                </c:pt>
                <c:pt idx="2">
                  <c:v>67</c:v>
                </c:pt>
                <c:pt idx="3">
                  <c:v>64</c:v>
                </c:pt>
                <c:pt idx="4">
                  <c:v>63</c:v>
                </c:pt>
                <c:pt idx="5">
                  <c:v>59</c:v>
                </c:pt>
                <c:pt idx="6">
                  <c:v>58</c:v>
                </c:pt>
                <c:pt idx="7">
                  <c:v>58</c:v>
                </c:pt>
                <c:pt idx="8">
                  <c:v>57</c:v>
                </c:pt>
                <c:pt idx="9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C3-40DE-AE7B-9F43F4EB58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ПАО «Сбербанк»</c:v>
                </c:pt>
                <c:pt idx="1">
                  <c:v>ВТБ</c:v>
                </c:pt>
                <c:pt idx="2">
                  <c:v>Газпромбанк</c:v>
                </c:pt>
                <c:pt idx="3">
                  <c:v>Альфа-банк</c:v>
                </c:pt>
                <c:pt idx="4">
                  <c:v>Райффайзенбанк</c:v>
                </c:pt>
                <c:pt idx="5">
                  <c:v>Совкомбанк</c:v>
                </c:pt>
                <c:pt idx="6">
                  <c:v>Почта банк</c:v>
                </c:pt>
                <c:pt idx="7">
                  <c:v>Росбанк</c:v>
                </c:pt>
                <c:pt idx="8">
                  <c:v>«Открытие»</c:v>
                </c:pt>
                <c:pt idx="9">
                  <c:v>Московский кредитный банк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C3-40DE-AE7B-9F43F4EB58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ПАО «Сбербанк»</c:v>
                </c:pt>
                <c:pt idx="1">
                  <c:v>ВТБ</c:v>
                </c:pt>
                <c:pt idx="2">
                  <c:v>Газпромбанк</c:v>
                </c:pt>
                <c:pt idx="3">
                  <c:v>Альфа-банк</c:v>
                </c:pt>
                <c:pt idx="4">
                  <c:v>Райффайзенбанк</c:v>
                </c:pt>
                <c:pt idx="5">
                  <c:v>Совкомбанк</c:v>
                </c:pt>
                <c:pt idx="6">
                  <c:v>Почта банк</c:v>
                </c:pt>
                <c:pt idx="7">
                  <c:v>Росбанк</c:v>
                </c:pt>
                <c:pt idx="8">
                  <c:v>«Открытие»</c:v>
                </c:pt>
                <c:pt idx="9">
                  <c:v>Московский кредитный банк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C3-40DE-AE7B-9F43F4EB5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596864"/>
        <c:axId val="90598784"/>
        <c:axId val="0"/>
      </c:bar3DChart>
      <c:catAx>
        <c:axId val="9059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598784"/>
        <c:crosses val="autoZero"/>
        <c:auto val="1"/>
        <c:lblAlgn val="ctr"/>
        <c:lblOffset val="100"/>
        <c:noMultiLvlLbl val="0"/>
      </c:catAx>
      <c:valAx>
        <c:axId val="90598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5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Грозный ЦОПП</dc:creator>
  <cp:lastModifiedBy>ЗУЛЯ</cp:lastModifiedBy>
  <cp:revision>2</cp:revision>
  <dcterms:created xsi:type="dcterms:W3CDTF">2023-03-06T22:38:00Z</dcterms:created>
  <dcterms:modified xsi:type="dcterms:W3CDTF">2023-03-06T22:38:00Z</dcterms:modified>
</cp:coreProperties>
</file>