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633F7" w14:textId="0764A6A8" w:rsidR="00FF5472" w:rsidRPr="004D093E" w:rsidRDefault="004D093E" w:rsidP="004D09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D093E">
        <w:rPr>
          <w:rFonts w:ascii="Times New Roman" w:hAnsi="Times New Roman" w:cs="Times New Roman"/>
          <w:b/>
          <w:bCs/>
          <w:sz w:val="28"/>
          <w:szCs w:val="28"/>
        </w:rPr>
        <w:t>Микрофинансирование в новой архитектуре финансового рынка</w:t>
      </w:r>
      <w:bookmarkEnd w:id="0"/>
    </w:p>
    <w:sectPr w:rsidR="00FF5472" w:rsidRPr="004D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2F"/>
    <w:rsid w:val="004D093E"/>
    <w:rsid w:val="00F3202F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F9FCE-0583-4A55-836C-AD9FAB97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2022-12-07T14:43:00Z</dcterms:created>
  <dcterms:modified xsi:type="dcterms:W3CDTF">2022-12-07T14:44:00Z</dcterms:modified>
</cp:coreProperties>
</file>