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after="160" w:line="288" w:lineRule="auto"/>
        <w:ind w:left="0" w:right="0" w:firstLine="709"/>
        <w:jc w:val="left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bCs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 xml:space="preserve">Колобов 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>Г.М.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>, Блинчиков Ф.В.</w:t>
      </w:r>
      <w:r>
        <w:rPr>
          <w:sz w:val="28"/>
          <w:szCs w:val="28"/>
        </w:rPr>
        <w:br w:type="textWrapping"/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sz w:val="28"/>
          <w:szCs w:val="28"/>
          <w:lang w:val="ru-RU"/>
        </w:rPr>
        <w:t xml:space="preserve">          </w:t>
      </w:r>
      <w:r>
        <w:fldChar w:fldCharType="begin"/>
      </w:r>
      <w:r>
        <w:instrText xml:space="preserve">HYPERLINK "mailto:gplacok27@gmail.com"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sz w:val="28"/>
          <w:szCs w:val="28"/>
          <w:lang w:val="ru-RU"/>
        </w:rPr>
        <w:t>gplacok27@gmail.com</w:t>
      </w:r>
      <w:r>
        <w:fldChar w:fldCharType="end"/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 xml:space="preserve">, </w:t>
      </w:r>
      <w:r>
        <w:fldChar w:fldCharType="begin"/>
      </w:r>
      <w:r>
        <w:instrText xml:space="preserve">HYPERLINK "mailto:fed.blin4ikov@yandex.ru"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sz w:val="28"/>
          <w:szCs w:val="28"/>
          <w:lang w:val="ru-RU"/>
        </w:rPr>
        <w:t>fed.blin4ikov@yandex.ru</w:t>
      </w:r>
      <w:r>
        <w:fldChar w:fldCharType="end"/>
      </w:r>
    </w:p>
    <w:p>
      <w:pPr>
        <w:spacing w:after="160" w:line="288" w:lineRule="auto"/>
        <w:ind w:left="0" w:right="0" w:firstLine="709"/>
        <w:jc w:val="left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>Россия, Санкт-Петербург</w:t>
      </w:r>
    </w:p>
    <w:p>
      <w:pPr>
        <w:spacing w:after="160" w:line="288" w:lineRule="auto"/>
        <w:ind w:left="0" w:right="0" w:firstLine="709"/>
        <w:jc w:val="left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>Международный Банковский Институт имени Анатолия Собчака</w:t>
      </w:r>
    </w:p>
    <w:p>
      <w:pPr>
        <w:spacing w:after="160" w:line="288" w:lineRule="auto"/>
        <w:ind w:left="0" w:right="0" w:firstLine="709"/>
        <w:jc w:val="left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bCs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>Кривошеев М.В.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 xml:space="preserve">, к.и.н., доцент - научный руководитель                              </w:t>
      </w:r>
    </w:p>
    <w:p>
      <w:pPr>
        <w:spacing w:after="160" w:line="288" w:lineRule="auto"/>
        <w:ind w:left="0" w:right="0" w:firstLine="709"/>
        <w:jc w:val="left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>Аннотация: Доклад посвящен описанию прагматичных действий руководителей стран-участниц в период Второй Мировой войны. В докладе  рассмотрены данные решения и сделан вывод об их правильности.</w:t>
      </w:r>
    </w:p>
    <w:p>
      <w:pPr>
        <w:spacing w:after="160" w:line="288" w:lineRule="auto"/>
        <w:ind w:left="0" w:right="0" w:firstLine="709"/>
        <w:jc w:val="left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>Ключевые слова: Вторая Мировая война, прагматичные решения, политика</w:t>
      </w:r>
    </w:p>
    <w:p>
      <w:pPr>
        <w:pStyle w:val="Normal"/>
        <w:spacing w:line="288"/>
        <w:ind w:firstLine="721"/>
        <w:jc w:val="left"/>
        <w:rPr>
          <w:rFonts w:ascii="Times New Roman" w:cs="Times New Roman" w:eastAsia="Times New Roman" w:hAnsi="Times New Roman"/>
          <w:b/>
          <w:bCs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 xml:space="preserve">Тема: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>Прагматичные решения периода Второй Мировой войны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rFonts w:ascii="Times New Roman" w:cs="Times New Roman" w:eastAsia="Times New Roman" w:hAnsi="Times New Roman"/>
          <w:b/>
          <w:bCs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 xml:space="preserve">          Kolobov G.M., 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>Blinchikov</w:t>
      </w:r>
      <w:r>
        <w:rPr>
          <w:rFonts w:ascii="Times New Roman" w:cs="Times New Roman" w:eastAsia="Times New Roman" w:hAnsi="Times New Roman"/>
          <w:b/>
          <w:bCs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 xml:space="preserve"> F.V.</w:t>
      </w:r>
    </w:p>
    <w:p>
      <w:pPr>
        <w:pStyle w:val="Normal"/>
        <w:spacing w:line="288"/>
        <w:ind w:firstLine="709"/>
        <w:jc w:val="left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</w:pPr>
      <w:r>
        <w:fldChar w:fldCharType="begin"/>
      </w:r>
      <w:r>
        <w:instrText xml:space="preserve">HYPERLINK "mailto:gplacok27@gmail.com"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sz w:val="28"/>
          <w:szCs w:val="28"/>
          <w:lang w:val="ru-RU"/>
        </w:rPr>
        <w:t>gplacok27@gmail.com</w:t>
      </w:r>
      <w:r>
        <w:fldChar w:fldCharType="end"/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>,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en-AU"/>
        </w:rPr>
        <w:t xml:space="preserve"> </w:t>
      </w:r>
      <w:r>
        <w:fldChar w:fldCharType="begin"/>
      </w:r>
      <w:r>
        <w:instrText xml:space="preserve">HYPERLINK "mailto:fed.blin4ikov@yandex.ru"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sz w:val="28"/>
          <w:szCs w:val="28"/>
          <w:lang w:val="en-AU"/>
        </w:rPr>
        <w:t>fed.blin4ikov@yandex.ru</w:t>
      </w:r>
      <w:r>
        <w:fldChar w:fldCharType="end"/>
      </w:r>
    </w:p>
    <w:p>
      <w:pPr>
        <w:spacing w:line="288"/>
        <w:ind w:firstLine="709"/>
        <w:jc w:val="left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en-AU"/>
        </w:rPr>
        <w:t>Russia, Saint-Petersburg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spacing w:line="288"/>
        <w:ind w:firstLine="709"/>
        <w:jc w:val="left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International Banking Institute named after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Anatoliy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Sobchak</w:t>
      </w:r>
    </w:p>
    <w:p>
      <w:pPr>
        <w:spacing w:line="288"/>
        <w:ind w:firstLine="709"/>
        <w:jc w:val="left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bCs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en-AU"/>
        </w:rPr>
        <w:t>Krivosheev M.V.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en-AU"/>
        </w:rPr>
        <w:t xml:space="preserve">,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>Candidate of Historical Sciences, Associate Professor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en-AU"/>
        </w:rPr>
        <w:t xml:space="preserve"> - Scientific Supervisor</w:t>
      </w:r>
    </w:p>
    <w:p>
      <w:pPr>
        <w:spacing w:line="288"/>
        <w:ind w:firstLine="709"/>
        <w:jc w:val="left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en-A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en-AU"/>
        </w:rPr>
        <w:t xml:space="preserve">Abstract: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en-US"/>
        </w:rPr>
        <w:t xml:space="preserve">The report is devoted to the description of the pragmatic actions of the leaders of the participating countries during the Second World War. The report reviewed these decisions and concluded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>that they were correct.</w:t>
      </w:r>
    </w:p>
    <w:p>
      <w:pPr>
        <w:spacing w:line="288"/>
        <w:ind w:firstLine="709"/>
        <w:jc w:val="left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en-AU"/>
        </w:rPr>
        <w:t xml:space="preserve">Tags: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>World War II, pragmatic decisions, politics</w:t>
      </w:r>
    </w:p>
    <w:p>
      <w:pPr>
        <w:spacing w:line="288"/>
        <w:ind w:firstLine="709"/>
        <w:jc w:val="left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en-AU"/>
        </w:rPr>
        <w:t xml:space="preserve">Theme: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 xml:space="preserve">Pragmatic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en-US"/>
        </w:rPr>
        <w:t>deci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>s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en-US"/>
        </w:rPr>
        <w:t>ions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 xml:space="preserve"> during the Second World War</w:t>
      </w:r>
    </w:p>
    <w:p>
      <w:pPr>
        <w:spacing w:line="288"/>
        <w:ind w:firstLine="709"/>
        <w:jc w:val="both"/>
        <w:rPr>
          <w:rFonts w:ascii="Times New Roman" w:cs="Times New Roman" w:eastAsia="Times New Roman" w:hAnsi="Times New Roman"/>
          <w:b/>
          <w:bCs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bCs/>
          <w:i w:val="off"/>
          <w:iCs w:val="off"/>
          <w:caps w:val="off"/>
          <w:smallCaps w:val="off"/>
          <w:color w:val="000000" w:themeColor="text1" w:themeTint="ff"/>
          <w:sz w:val="28"/>
          <w:szCs w:val="28"/>
          <w:lang w:val="ru-RU"/>
        </w:rPr>
        <w:t>Введение</w:t>
      </w:r>
    </w:p>
    <w:p>
      <w:pPr>
        <w:spacing w:line="288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Вторая Мировая война - одно из самых масштабных событий, происходивших на нашей планете</w:t>
      </w:r>
      <w:r>
        <w:rPr>
          <w:rFonts w:ascii="Times New Roman" w:cs="Times New Roman" w:hAnsi="Times New Roman"/>
          <w:sz w:val="28"/>
          <w:szCs w:val="28"/>
        </w:rPr>
        <w:t>. Она оставила значимый значимый след не только в истории, но и в памяти всего населения Земли. В сознании многих людей она представляется, как длительная кровопролитная битва, но на самом деле, любая война это не просто боевые действия, но и целый ряд различных политических решений.</w:t>
      </w:r>
    </w:p>
    <w:p>
      <w:pPr>
        <w:spacing w:line="288"/>
        <w:ind w:firstLine="709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line="288"/>
        <w:ind w:firstLine="709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Причины</w:t>
      </w:r>
    </w:p>
    <w:p>
      <w:pPr>
        <w:numPr>
          <w:ilvl w:val="0"/>
          <w:numId w:val="1"/>
        </w:numPr>
        <w:tabs>
          <w:tab w:val="left" w:leader="none" w:pos="1143"/>
        </w:tabs>
        <w:spacing w:line="288"/>
        <w:ind w:left="0" w:firstLine="72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Обострение между ведущими капиталистическими странами.</w:t>
      </w:r>
    </w:p>
    <w:p>
      <w:pPr>
        <w:numPr>
          <w:ilvl w:val="0"/>
          <w:numId w:val="1"/>
        </w:numPr>
        <w:tabs>
          <w:tab w:val="left" w:leader="none" w:pos="1143"/>
        </w:tabs>
        <w:spacing w:line="288"/>
        <w:ind w:left="0" w:firstLine="72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Стремление стран “молодого” капитализма к переделу мира (наличие реваншистских настроений).</w:t>
      </w:r>
    </w:p>
    <w:p>
      <w:pPr>
        <w:numPr>
          <w:ilvl w:val="0"/>
          <w:numId w:val="1"/>
        </w:numPr>
        <w:tabs>
          <w:tab w:val="left" w:leader="none" w:pos="1143"/>
        </w:tabs>
        <w:spacing w:line="288"/>
        <w:ind w:left="0" w:firstLine="72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Политика умиротворения агрессора, проводимая Францией и Великобританией.</w:t>
      </w:r>
    </w:p>
    <w:p>
      <w:pPr>
        <w:numPr>
          <w:ilvl w:val="0"/>
          <w:numId w:val="1"/>
        </w:numPr>
        <w:tabs>
          <w:tab w:val="left" w:leader="none" w:pos="1143"/>
        </w:tabs>
        <w:spacing w:line="288"/>
        <w:ind w:left="0" w:firstLine="72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Мировой Экономический Кризис.</w:t>
      </w:r>
    </w:p>
    <w:p>
      <w:pPr>
        <w:tabs>
          <w:tab w:val="left" w:leader="none" w:pos="1143"/>
        </w:tabs>
        <w:spacing w:line="288"/>
        <w:ind w:left="0" w:right="0" w:firstLine="708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Прагматизм глав государств при принятии политических решений в период Второй Мировой войны</w:t>
      </w:r>
    </w:p>
    <w:p>
      <w:pPr>
        <w:numPr>
          <w:ilvl w:val="0"/>
          <w:numId w:val="3"/>
        </w:numPr>
        <w:tabs>
          <w:tab w:val="left" w:leader="none" w:pos="1143"/>
        </w:tabs>
        <w:spacing w:line="288"/>
        <w:ind w:left="0" w:firstLine="72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Договор о ненападении между Германией и Польшей (Пакт Пилсудского-Гитлера, 1934 г.) - Смена политических идей Польши в пользу Германии, отдаляясь от своих союзников;</w:t>
      </w:r>
    </w:p>
    <w:p>
      <w:pPr>
        <w:numPr>
          <w:ilvl w:val="0"/>
          <w:numId w:val="3"/>
        </w:numPr>
        <w:tabs>
          <w:tab w:val="left" w:leader="none" w:pos="1143"/>
        </w:tabs>
        <w:spacing w:line="288"/>
        <w:ind w:left="0" w:firstLine="72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Мюнхенская конференция 1938 года - Раздел Чехословакии без участия правительства этой страны;</w:t>
      </w:r>
    </w:p>
    <w:p>
      <w:pPr>
        <w:numPr>
          <w:ilvl w:val="0"/>
          <w:numId w:val="3"/>
        </w:numPr>
        <w:tabs>
          <w:tab w:val="left" w:leader="none" w:pos="1143"/>
        </w:tabs>
        <w:spacing w:line="288"/>
        <w:ind w:left="0" w:firstLine="72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Вторжение Германии в Польшу (1 сентября 1939 года) - Начало 1-ого периода Второй Мировой войны;</w:t>
      </w:r>
    </w:p>
    <w:p>
      <w:pPr>
        <w:numPr>
          <w:ilvl w:val="0"/>
          <w:numId w:val="3"/>
        </w:numPr>
        <w:tabs>
          <w:tab w:val="left" w:leader="none" w:pos="1143"/>
        </w:tabs>
        <w:spacing w:line="288"/>
        <w:ind w:left="0" w:firstLine="72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Вторжение Германии в СССР (22 июня 1941 года) - Нарушение Германией пакта Молотова-Риббентропа;</w:t>
      </w:r>
    </w:p>
    <w:p>
      <w:pPr>
        <w:numPr>
          <w:ilvl w:val="0"/>
          <w:numId w:val="3"/>
        </w:numPr>
        <w:tabs>
          <w:tab w:val="left" w:leader="none" w:pos="1143"/>
        </w:tabs>
        <w:spacing w:line="288"/>
        <w:ind w:left="0" w:firstLine="72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Высадка в Нормандии (6 июня 1944 года) - Долгожданное открытие второго фронта на Западе странами-союзниками;</w:t>
      </w:r>
    </w:p>
    <w:p>
      <w:pPr>
        <w:numPr>
          <w:ilvl w:val="0"/>
          <w:numId w:val="3"/>
        </w:numPr>
        <w:tabs>
          <w:tab w:val="left" w:leader="none" w:pos="1143"/>
        </w:tabs>
        <w:spacing w:line="288"/>
        <w:ind w:left="0" w:firstLine="72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Берлинская операция (апрель 1945 года) - Окружение берлина Красной Армией перед его непосредственным штурмом;</w:t>
      </w:r>
    </w:p>
    <w:p>
      <w:pPr>
        <w:tabs>
          <w:tab w:val="left" w:leader="none" w:pos="1143"/>
        </w:tabs>
        <w:spacing w:line="288"/>
        <w:ind w:left="0" w:right="0" w:firstLine="707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Выводы:</w:t>
      </w:r>
    </w:p>
    <w:p>
      <w:pPr>
        <w:tabs>
          <w:tab w:val="left" w:leader="none" w:pos="1143"/>
        </w:tabs>
        <w:spacing w:line="288"/>
        <w:ind w:left="0" w:right="0" w:firstLine="707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Таким образом, можно заключить, что с моральной точки зрения, все вышеперечисленные решения нельзя назвать правильными, в том числе по причине того, что все они преследуют интересы либо  одной страны, либо всего лишь нескольких стран, но при этом, с политической точки зрения - можно заявить об их грамотности, так как все они были направлены на достижение того или иного успеха, на который рассчитывал конкретный глава государства, отстаивая интересы народа своей страны.</w:t>
      </w:r>
    </w:p>
    <w:sectPr>
      <w:pgSz w:w="11906" w:h="16838" w:orient="portrait"/>
      <w:pgMar w:top="1134" w:right="1134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00"/>
    <w:family w:val="roman"/>
    <w:notTrueType w:val="o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imes new roman&amp;quot;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28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48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68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588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08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28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49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69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189" w:hanging="360"/>
      </w:pPr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28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48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868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3588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4308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5028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748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6468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7188" w:hanging="360"/>
      </w:pPr>
      <w:rPr/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multiLevelType w:val="hybridMultilevel"/>
    <w:lvl w:ilvl="0" w:tentative="0">
      <w:start w:val="1"/>
      <w:numFmt w:val="decimal"/>
      <w:suff w:val="tab"/>
      <w:lvlText w:val="%1."/>
      <w:lvlJc w:val="left"/>
      <w:pPr>
        <w:ind w:left="1428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48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68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588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08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28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48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68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188" w:hanging="360"/>
      </w:pPr>
    </w:lvl>
  </w:abstractNum>
  <w:num w:numId="1">
    <w:abstractNumId w:val="0"/>
  </w:num>
  <w:num w:numId="2">
    <w:abstractNumId w:val="1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7382F9"/>
    <w:rsid w:val="12CF26FF"/>
    <w:rsid w:val="42738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82F9"/>
  <w15:chartTrackingRefBased/>
  <w15:docId w15:val="{17DF27FB-1A74-4C9D-9FE3-92D81A9AB235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3" Type="http://schemas.openxmlformats.org/officeDocument/2006/relationships/webSettings" Target="webSettings.xml"/><Relationship Id="R9bc59034fb7e4db5" Type="http://schemas.openxmlformats.org/officeDocument/2006/relationships/hyperlink" Target="mailto:fed.blin4ikov@yandex.ru" TargetMode="External"/><Relationship Id="Ra2dbd2962b8b4737" Type="http://schemas.openxmlformats.org/officeDocument/2006/relationships/hyperlink" Target="mailto:fed.blin4ikov@yandex.ru" TargetMode="External"/><Relationship Id="Rdbeed57ad2254bef" Type="http://schemas.openxmlformats.org/officeDocument/2006/relationships/hyperlink" Target="mailto:gplacok27@gmail.com" TargetMode="External"/><Relationship Id="Rfab0142ec3ba46e0" Type="http://schemas.openxmlformats.org/officeDocument/2006/relationships/hyperlink" Target="mailto:gplacok27@gmail.com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Блинчиков Фёдор</dc:creator>
  <cp:lastModifiedBy>Георгий Шереметьев</cp:lastModifiedBy>
</cp:coreProperties>
</file>