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88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НЕЙРОМАРКЕТИНГ В БИЗНЕСЕ: АНАЛИЗ КЕЙСОВ ПРИМЕНЕНИЯ АЙТРЕКЕРОВ</w:t>
      </w:r>
    </w:p>
    <w:p w14:paraId="02000000">
      <w:pPr>
        <w:spacing w:after="0" w:line="288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Шубная Я. А.</w:t>
      </w:r>
    </w:p>
    <w:p w14:paraId="03000000">
      <w:pPr>
        <w:spacing w:after="0" w:line="288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Shubnaya2015@gmail.com</w:t>
      </w:r>
    </w:p>
    <w:p w14:paraId="04000000">
      <w:pPr>
        <w:spacing w:after="0" w:line="288" w:lineRule="auto"/>
        <w:ind w:firstLine="709" w:left="0"/>
        <w:jc w:val="right"/>
        <w:rPr>
          <w:rFonts w:ascii="Times New Roman" w:hAnsi="Times New Roman"/>
          <w:sz w:val="28"/>
        </w:rPr>
      </w:pPr>
      <w:bookmarkStart w:id="1" w:name="_Hlk118380171"/>
      <w:r>
        <w:rPr>
          <w:rFonts w:ascii="Times New Roman" w:hAnsi="Times New Roman"/>
          <w:sz w:val="28"/>
        </w:rPr>
        <w:t>Санкт-Петербургский государственный экономический университет, Российская Федерация, 191023, Санкт-Петербург, наб. канала Грибоедова, 30–32, литер А</w:t>
      </w:r>
      <w:bookmarkEnd w:id="1"/>
    </w:p>
    <w:p w14:paraId="05000000">
      <w:pPr>
        <w:spacing w:after="0" w:line="288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Калимуллина О.В.</w:t>
      </w:r>
    </w:p>
    <w:p w14:paraId="06000000">
      <w:pPr>
        <w:spacing w:after="0" w:line="288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К.э.н., доцент кафедры маркетинга, Санкт-Петербургский государственный экономический университет, Российская Федерация, 191023, Санкт-Петербург, наб. канала Грибоедова, 30–32, литер А</w:t>
      </w:r>
    </w:p>
    <w:p w14:paraId="07000000">
      <w:pPr>
        <w:spacing w:after="0" w:line="288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08000000">
      <w:p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Аннотация.</w:t>
      </w:r>
      <w:r>
        <w:rPr>
          <w:rFonts w:ascii="Times New Roman" w:hAnsi="Times New Roman"/>
          <w:sz w:val="28"/>
        </w:rPr>
        <w:t xml:space="preserve"> Целью данного исследования является проведение анализа практики и выявление областей применения </w:t>
      </w:r>
      <w:r>
        <w:rPr>
          <w:rFonts w:ascii="Times New Roman" w:hAnsi="Times New Roman"/>
          <w:sz w:val="28"/>
        </w:rPr>
        <w:t>айтрекеров</w:t>
      </w:r>
      <w:r>
        <w:rPr>
          <w:rFonts w:ascii="Times New Roman" w:hAnsi="Times New Roman"/>
          <w:sz w:val="28"/>
        </w:rPr>
        <w:t xml:space="preserve"> в маркетинге. В качестве методов исследования был использован анализ научных статей и статистики. В результате проведенного исследования было выявлено, что </w:t>
      </w:r>
      <w:r>
        <w:rPr>
          <w:rFonts w:ascii="Times New Roman" w:hAnsi="Times New Roman"/>
          <w:sz w:val="28"/>
        </w:rPr>
        <w:t>айтрекеры</w:t>
      </w:r>
      <w:r>
        <w:rPr>
          <w:rFonts w:ascii="Times New Roman" w:hAnsi="Times New Roman"/>
          <w:sz w:val="28"/>
        </w:rPr>
        <w:t xml:space="preserve"> имеют широкую область применения, однако при их использовании стоит учитывать целый ряд нюансов.</w:t>
      </w:r>
    </w:p>
    <w:p w14:paraId="09000000">
      <w:pPr>
        <w:spacing w:after="0" w:line="28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Ключевые слова: </w:t>
      </w:r>
      <w:r>
        <w:rPr>
          <w:rFonts w:ascii="Times New Roman" w:hAnsi="Times New Roman"/>
          <w:sz w:val="28"/>
        </w:rPr>
        <w:t>Нейротехнологии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нейромаркетинг</w:t>
      </w:r>
      <w:r>
        <w:rPr>
          <w:rFonts w:ascii="Times New Roman" w:hAnsi="Times New Roman"/>
          <w:sz w:val="28"/>
        </w:rPr>
        <w:t xml:space="preserve">, технологии </w:t>
      </w:r>
      <w:r>
        <w:rPr>
          <w:rFonts w:ascii="Times New Roman" w:hAnsi="Times New Roman"/>
          <w:sz w:val="28"/>
        </w:rPr>
        <w:t>айтрекинга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айтрекеры</w:t>
      </w:r>
      <w:r>
        <w:rPr>
          <w:rFonts w:ascii="Times New Roman" w:hAnsi="Times New Roman"/>
          <w:sz w:val="28"/>
        </w:rPr>
        <w:t>, маркетинговые исследования.</w:t>
      </w:r>
    </w:p>
    <w:p w14:paraId="0A000000">
      <w:p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Более 30% компании в мире прибегали к использованию </w:t>
      </w:r>
      <w:r>
        <w:rPr>
          <w:rFonts w:ascii="Times New Roman" w:hAnsi="Times New Roman"/>
          <w:sz w:val="28"/>
        </w:rPr>
        <w:t>айтрекеров</w:t>
      </w:r>
      <w:r>
        <w:rPr>
          <w:rFonts w:ascii="Times New Roman" w:hAnsi="Times New Roman"/>
          <w:sz w:val="28"/>
        </w:rPr>
        <w:t xml:space="preserve"> в своих исследованиях по данным на 2020 год [1]. Однако стоит обратить внимание на то, в каких областях может быть использован данный метод исследования. Поскольку </w:t>
      </w:r>
      <w:r>
        <w:rPr>
          <w:rFonts w:ascii="Times New Roman" w:hAnsi="Times New Roman"/>
          <w:sz w:val="28"/>
        </w:rPr>
        <w:t>нейротехнологии</w:t>
      </w:r>
      <w:r>
        <w:rPr>
          <w:rFonts w:ascii="Times New Roman" w:hAnsi="Times New Roman"/>
          <w:sz w:val="28"/>
        </w:rPr>
        <w:t xml:space="preserve"> позволяют изучить поведение потребителей со стороны физиологии и психологии, знание областей применения </w:t>
      </w:r>
      <w:r>
        <w:rPr>
          <w:rFonts w:ascii="Times New Roman" w:hAnsi="Times New Roman"/>
          <w:sz w:val="28"/>
        </w:rPr>
        <w:t>айтрекеров</w:t>
      </w:r>
      <w:r>
        <w:rPr>
          <w:rFonts w:ascii="Times New Roman" w:hAnsi="Times New Roman"/>
          <w:sz w:val="28"/>
        </w:rPr>
        <w:t xml:space="preserve"> может способствовать лучшему пониманию возможностей компании при проведении своих маркетинговых исследований.</w:t>
      </w:r>
    </w:p>
    <w:p w14:paraId="0B000000">
      <w:p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выявления областей применения </w:t>
      </w:r>
      <w:r>
        <w:rPr>
          <w:rFonts w:ascii="Times New Roman" w:hAnsi="Times New Roman"/>
          <w:sz w:val="28"/>
        </w:rPr>
        <w:t>айтрекеров</w:t>
      </w:r>
      <w:r>
        <w:rPr>
          <w:rFonts w:ascii="Times New Roman" w:hAnsi="Times New Roman"/>
          <w:sz w:val="28"/>
        </w:rPr>
        <w:t xml:space="preserve"> были рассмотрены научные статьи по маркетинговым исследованиям с их применением. По результатам данного исследования были выделены следующие области применения.</w:t>
      </w:r>
    </w:p>
    <w:p w14:paraId="0C000000">
      <w:p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первой области применения было выявлено </w:t>
      </w:r>
      <w:r>
        <w:rPr>
          <w:rFonts w:ascii="Times New Roman" w:hAnsi="Times New Roman"/>
          <w:i w:val="1"/>
          <w:sz w:val="28"/>
        </w:rPr>
        <w:t>изучение когнитивных реакций поведения потребителя в целом</w:t>
      </w:r>
      <w:r>
        <w:rPr>
          <w:rFonts w:ascii="Times New Roman" w:hAnsi="Times New Roman"/>
          <w:sz w:val="28"/>
        </w:rPr>
        <w:t xml:space="preserve">, поскольку на этих исследованиях базируются все последующие </w:t>
      </w:r>
      <w:r>
        <w:rPr>
          <w:rFonts w:ascii="Times New Roman" w:hAnsi="Times New Roman"/>
          <w:sz w:val="28"/>
        </w:rPr>
        <w:t>нейромаркетинговые</w:t>
      </w:r>
      <w:r>
        <w:rPr>
          <w:rFonts w:ascii="Times New Roman" w:hAnsi="Times New Roman"/>
          <w:sz w:val="28"/>
        </w:rPr>
        <w:t xml:space="preserve"> исследования в более узких областях.</w:t>
      </w:r>
    </w:p>
    <w:p w14:paraId="0D000000">
      <w:p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Вторая область применения — это </w:t>
      </w:r>
      <w:r>
        <w:rPr>
          <w:rFonts w:ascii="Times New Roman" w:hAnsi="Times New Roman"/>
          <w:i w:val="1"/>
          <w:sz w:val="28"/>
        </w:rPr>
        <w:t>анализ функциональности пространств.</w:t>
      </w:r>
      <w:r>
        <w:rPr>
          <w:rFonts w:ascii="Times New Roman" w:hAnsi="Times New Roman"/>
          <w:sz w:val="28"/>
        </w:rPr>
        <w:t xml:space="preserve"> Стоит отметить, что для данных целей может использоваться не </w:t>
      </w:r>
      <w:r>
        <w:rPr>
          <w:rFonts w:ascii="Times New Roman" w:hAnsi="Times New Roman"/>
          <w:sz w:val="28"/>
        </w:rPr>
        <w:t xml:space="preserve">только технология </w:t>
      </w:r>
      <w:r>
        <w:rPr>
          <w:rFonts w:ascii="Times New Roman" w:hAnsi="Times New Roman"/>
          <w:sz w:val="28"/>
        </w:rPr>
        <w:t>айтрекеров</w:t>
      </w:r>
      <w:r>
        <w:rPr>
          <w:rFonts w:ascii="Times New Roman" w:hAnsi="Times New Roman"/>
          <w:sz w:val="28"/>
        </w:rPr>
        <w:t>, но и виртуальная или дополненная реальности. Это может значительно удешевить стоимость проведения исследования, при этом их совместное использование может положительно сказаться на развитии использования виртуальной и дополненной реальностей в маркетинговых исследованиях.</w:t>
      </w:r>
    </w:p>
    <w:p w14:paraId="0E000000">
      <w:p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Третьей областью применения </w:t>
      </w:r>
      <w:r>
        <w:rPr>
          <w:rFonts w:ascii="Times New Roman" w:hAnsi="Times New Roman"/>
          <w:sz w:val="28"/>
        </w:rPr>
        <w:t>айтрекером</w:t>
      </w:r>
      <w:r>
        <w:rPr>
          <w:rFonts w:ascii="Times New Roman" w:hAnsi="Times New Roman"/>
          <w:sz w:val="28"/>
        </w:rPr>
        <w:t xml:space="preserve"> было выделено </w:t>
      </w:r>
      <w:r>
        <w:rPr>
          <w:rFonts w:ascii="Times New Roman" w:hAnsi="Times New Roman"/>
          <w:i w:val="1"/>
          <w:sz w:val="28"/>
        </w:rPr>
        <w:t>исследование рекламы интернете</w:t>
      </w:r>
      <w:r>
        <w:rPr>
          <w:rFonts w:ascii="Times New Roman" w:hAnsi="Times New Roman"/>
          <w:sz w:val="28"/>
        </w:rPr>
        <w:t xml:space="preserve">, в частности всплывающей рекламы, однако дополнительно стоит использовать технологии фиксации эмоций. Это обусловлено тем, что </w:t>
      </w:r>
      <w:r>
        <w:rPr>
          <w:rFonts w:ascii="Times New Roman" w:hAnsi="Times New Roman"/>
          <w:sz w:val="28"/>
        </w:rPr>
        <w:t>айтрекеры</w:t>
      </w:r>
      <w:r>
        <w:rPr>
          <w:rFonts w:ascii="Times New Roman" w:hAnsi="Times New Roman"/>
          <w:sz w:val="28"/>
        </w:rPr>
        <w:t xml:space="preserve"> ограничены визуальными данными, которые требуют эмоционального дополнения для более корректной интерпретации полученных по итогам исследования результатов.</w:t>
      </w:r>
    </w:p>
    <w:p w14:paraId="0F000000">
      <w:p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Следующая область применения — это </w:t>
      </w:r>
      <w:r>
        <w:rPr>
          <w:rFonts w:ascii="Times New Roman" w:hAnsi="Times New Roman"/>
          <w:i w:val="1"/>
          <w:sz w:val="28"/>
        </w:rPr>
        <w:t>дизайн</w:t>
      </w:r>
      <w:r>
        <w:rPr>
          <w:rFonts w:ascii="Times New Roman" w:hAnsi="Times New Roman"/>
          <w:sz w:val="28"/>
        </w:rPr>
        <w:t>: упаковки, сайта, рекламы. Данная область достаточно популярна, что может быть обусловлено тем, что первый контакт потребителя с товаром зачастую визуальный. При этом совместное с потребителями создание дизайна является эффективной практикой.</w:t>
      </w:r>
    </w:p>
    <w:p w14:paraId="10000000">
      <w:p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Последняя область применения - </w:t>
      </w:r>
      <w:r>
        <w:rPr>
          <w:rFonts w:ascii="Times New Roman" w:hAnsi="Times New Roman"/>
          <w:i w:val="1"/>
          <w:sz w:val="28"/>
        </w:rPr>
        <w:t>виртуальная и дополненная реальности</w:t>
      </w:r>
      <w:r>
        <w:rPr>
          <w:rFonts w:ascii="Times New Roman" w:hAnsi="Times New Roman"/>
          <w:sz w:val="28"/>
        </w:rPr>
        <w:t xml:space="preserve">. Эти технологии возможно использовать совместно с </w:t>
      </w:r>
      <w:r>
        <w:rPr>
          <w:rFonts w:ascii="Times New Roman" w:hAnsi="Times New Roman"/>
          <w:sz w:val="28"/>
        </w:rPr>
        <w:t>айтрекерами</w:t>
      </w:r>
      <w:r>
        <w:rPr>
          <w:rFonts w:ascii="Times New Roman" w:hAnsi="Times New Roman"/>
          <w:sz w:val="28"/>
        </w:rPr>
        <w:t xml:space="preserve"> в различных исследованиях, при этом снижая стоимость проведения таких исследований и помогая потребителям лучше погрузиться в предлагаемую обстановку, соответственно приближая полученные данные к реальному поведению потребителей в таких ситуациях.</w:t>
      </w:r>
    </w:p>
    <w:p w14:paraId="11000000">
      <w:p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Подводя итог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можно сделать вывод о том, что </w:t>
      </w:r>
      <w:r>
        <w:rPr>
          <w:rFonts w:ascii="Times New Roman" w:hAnsi="Times New Roman"/>
          <w:sz w:val="28"/>
        </w:rPr>
        <w:t>айтрекеры</w:t>
      </w:r>
      <w:r>
        <w:rPr>
          <w:rFonts w:ascii="Times New Roman" w:hAnsi="Times New Roman"/>
          <w:sz w:val="28"/>
        </w:rPr>
        <w:t xml:space="preserve"> имеют широкую область применения, при этом стоит учитывать то, что в данной работе рассмотрена только часть наиболее распространенных областей их применения. Кроме того, при использовании </w:t>
      </w:r>
      <w:r>
        <w:rPr>
          <w:rFonts w:ascii="Times New Roman" w:hAnsi="Times New Roman"/>
          <w:sz w:val="28"/>
        </w:rPr>
        <w:t>айтрекеров</w:t>
      </w:r>
      <w:r>
        <w:rPr>
          <w:rFonts w:ascii="Times New Roman" w:hAnsi="Times New Roman"/>
          <w:sz w:val="28"/>
        </w:rPr>
        <w:t xml:space="preserve"> в маркетинговых исследованиях стоит учитывать поставленные цели, поскольку для получения более узко направленных результатов потребуется использование дополнительных </w:t>
      </w:r>
      <w:r>
        <w:rPr>
          <w:rFonts w:ascii="Times New Roman" w:hAnsi="Times New Roman"/>
          <w:sz w:val="28"/>
        </w:rPr>
        <w:t>нейромаркетинговых</w:t>
      </w:r>
      <w:r>
        <w:rPr>
          <w:rFonts w:ascii="Times New Roman" w:hAnsi="Times New Roman"/>
          <w:sz w:val="28"/>
        </w:rPr>
        <w:t xml:space="preserve"> технологий, позволяющих проанализировать поведение потребителей в целом, а также ограничения применения </w:t>
      </w:r>
      <w:r>
        <w:rPr>
          <w:rFonts w:ascii="Times New Roman" w:hAnsi="Times New Roman"/>
          <w:sz w:val="28"/>
        </w:rPr>
        <w:t>айтрекеров</w:t>
      </w:r>
      <w:r>
        <w:rPr>
          <w:rFonts w:ascii="Times New Roman" w:hAnsi="Times New Roman"/>
          <w:sz w:val="28"/>
        </w:rPr>
        <w:t xml:space="preserve"> в маркетинговых исследованиях.</w:t>
      </w:r>
    </w:p>
    <w:p w14:paraId="12000000">
      <w:pPr>
        <w:spacing w:after="0" w:line="288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использованных источников</w:t>
      </w:r>
    </w:p>
    <w:p w14:paraId="13000000">
      <w:pPr>
        <w:pStyle w:val="Style_1"/>
        <w:numPr>
          <w:ilvl w:val="0"/>
          <w:numId w:val="1"/>
        </w:numPr>
        <w:spacing w:after="0" w:line="28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Share of organizations using eye tracking in market research worldwide from 2014 to 2020 [</w:t>
      </w:r>
      <w:r>
        <w:rPr>
          <w:rFonts w:ascii="Times New Roman" w:hAnsi="Times New Roman"/>
          <w:sz w:val="28"/>
        </w:rPr>
        <w:t>Электронный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</w:t>
      </w:r>
      <w:r>
        <w:rPr>
          <w:rFonts w:ascii="Times New Roman" w:hAnsi="Times New Roman"/>
          <w:sz w:val="28"/>
        </w:rPr>
        <w:t xml:space="preserve">] – 2022. </w:t>
      </w:r>
      <w:r>
        <w:rPr>
          <w:rFonts w:ascii="Times New Roman" w:hAnsi="Times New Roman"/>
          <w:sz w:val="28"/>
        </w:rPr>
        <w:t xml:space="preserve">Режим доступа: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"https://www.statista.com/statistics/966898/market-research-industry-eye-tracking/"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https://www.statista.com/statistics/966898/market-research-industry-eye-tracking/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ограничен. (дата обращения: 19.10.2022.)</w:t>
      </w:r>
    </w:p>
    <w:sectPr>
      <w:pgSz w:h="16838" w:orient="portrait" w:w="11906"/>
      <w:pgMar w:bottom="1134" w:footer="709" w:gutter="0" w:header="709" w:left="1418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Заголовок 1 Знак"/>
    <w:basedOn w:val="Style_10"/>
    <w:link w:val="Style_9_ch"/>
    <w:rPr>
      <w:rFonts w:ascii="Times New Roman" w:hAnsi="Times New Roman"/>
      <w:b w:val="1"/>
      <w:sz w:val="28"/>
    </w:rPr>
  </w:style>
  <w:style w:styleId="Style_9_ch" w:type="character">
    <w:name w:val="Заголовок 1 Знак"/>
    <w:basedOn w:val="Style_10_ch"/>
    <w:link w:val="Style_9"/>
    <w:rPr>
      <w:rFonts w:ascii="Times New Roman" w:hAnsi="Times New Roman"/>
      <w:b w:val="1"/>
      <w:sz w:val="2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keepLines w:val="1"/>
      <w:spacing w:after="0" w:before="240"/>
      <w:ind/>
      <w:outlineLvl w:val="0"/>
    </w:pPr>
    <w:rPr>
      <w:rFonts w:ascii="Times New Roman" w:hAnsi="Times New Roman"/>
      <w:b w:val="1"/>
      <w:sz w:val="28"/>
    </w:rPr>
  </w:style>
  <w:style w:styleId="Style_19_ch" w:type="character">
    <w:name w:val="heading 1"/>
    <w:basedOn w:val="Style_2_ch"/>
    <w:link w:val="Style_19"/>
    <w:rPr>
      <w:rFonts w:ascii="Times New Roman" w:hAnsi="Times New Roman"/>
      <w:b w:val="1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Гиперссылка3"/>
    <w:link w:val="Style_25_ch"/>
    <w:rPr>
      <w:color w:val="0000FF"/>
      <w:u w:val="single"/>
    </w:rPr>
  </w:style>
  <w:style w:styleId="Style_25_ch" w:type="character">
    <w:name w:val="Гиперссылка3"/>
    <w:link w:val="Style_25"/>
    <w:rPr>
      <w:color w:val="0000FF"/>
      <w:u w:val="single"/>
    </w:rPr>
  </w:style>
  <w:style w:styleId="Style_26" w:type="paragraph">
    <w:name w:val="toc 8"/>
    <w:next w:val="Style_2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5"/>
    <w:next w:val="Style_2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2022-11-30T09:44:39Z</dcterms:modified>
</cp:coreProperties>
</file>