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The drivers and limiting factors for value-oriented management in Chinese companies: case study of China Post Corporation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C857"/>
    <w:rsid w:val="7FFE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2024-03-06T22:35:00Z</dcterms:created>
  <dc:creator>光年之外</dc:creator>
  <cp:lastModifiedBy>光年之外</cp:lastModifiedBy>
  <dcterms:modified xsi:type="dcterms:W3CDTF">2024-03-06T22:36:24Z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E4BE8C246D6210359FC5E86550D5D1E6</vt:lpwstr>
  </property>
</Properties>
</file>