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DC73" w14:textId="17350229" w:rsidR="003C2D13" w:rsidRDefault="00067E73">
      <w:r w:rsidRPr="00067E73">
        <w:t>Valuation in mergers and acquisitions in the American digital market using the example of American companies Microsoft Corporation and Blizzard Entertainment Incorporation.</w:t>
      </w:r>
    </w:p>
    <w:sectPr w:rsidR="003C2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73"/>
    <w:rsid w:val="00067E73"/>
    <w:rsid w:val="003C2D13"/>
    <w:rsid w:val="00EF0AC9"/>
    <w:rsid w:val="00F3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83932"/>
  <w15:chartTrackingRefBased/>
  <w15:docId w15:val="{0BAB97A9-5B47-429D-8541-D3A3D0D1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7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E7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E7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E7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E7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E7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E7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E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E7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E7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67E7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E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E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E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E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E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7E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君泽 段</dc:creator>
  <cp:keywords/>
  <dc:description/>
  <cp:lastModifiedBy>君泽 段</cp:lastModifiedBy>
  <cp:revision>1</cp:revision>
  <dcterms:created xsi:type="dcterms:W3CDTF">2024-03-08T12:16:00Z</dcterms:created>
  <dcterms:modified xsi:type="dcterms:W3CDTF">2024-03-08T12:16:00Z</dcterms:modified>
</cp:coreProperties>
</file>