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88B9" w14:textId="66F38909" w:rsidR="003C2D13" w:rsidRPr="001A370E" w:rsidRDefault="001A370E" w:rsidP="001A370E">
      <w:r w:rsidRPr="001A370E">
        <w:t>Analysis of the factors affecting corporate growth: case study of BYD Auto company limited</w:t>
      </w:r>
    </w:p>
    <w:sectPr w:rsidR="003C2D13" w:rsidRPr="001A3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2F"/>
    <w:rsid w:val="001A370E"/>
    <w:rsid w:val="003A5C2F"/>
    <w:rsid w:val="003C2D13"/>
    <w:rsid w:val="00EF0AC9"/>
    <w:rsid w:val="00F3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F3D1"/>
  <w15:chartTrackingRefBased/>
  <w15:docId w15:val="{2B12B399-F5B2-40CC-A91D-8C9AE730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5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C2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C2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C2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C2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C2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C2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C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C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C2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A5C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C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C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C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C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C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5C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君泽 段</dc:creator>
  <cp:keywords/>
  <dc:description/>
  <cp:lastModifiedBy>君泽 段</cp:lastModifiedBy>
  <cp:revision>2</cp:revision>
  <dcterms:created xsi:type="dcterms:W3CDTF">2024-03-07T17:59:00Z</dcterms:created>
  <dcterms:modified xsi:type="dcterms:W3CDTF">2024-03-07T18:08:00Z</dcterms:modified>
</cp:coreProperties>
</file>