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D150" w14:textId="023B88D6" w:rsidR="00971076" w:rsidRDefault="00971076" w:rsidP="00971076">
      <w:pPr>
        <w:shd w:val="clear" w:color="auto" w:fill="FFFFFF"/>
        <w:spacing w:line="24" w:lineRule="atLeast"/>
        <w:rPr>
          <w:rFonts w:ascii="Times New Roman" w:hAnsi="Times New Roman" w:cs="Times New Roman"/>
          <w:b/>
          <w:sz w:val="28"/>
          <w:szCs w:val="28"/>
          <w:lang w:val="ru-RU"/>
        </w:rPr>
      </w:pPr>
      <w:r>
        <w:rPr>
          <w:rFonts w:ascii="Times New Roman" w:hAnsi="Times New Roman" w:cs="Times New Roman"/>
          <w:b/>
          <w:sz w:val="28"/>
          <w:szCs w:val="28"/>
          <w:lang w:val="ru-RU"/>
        </w:rPr>
        <w:t xml:space="preserve">УДК: </w:t>
      </w:r>
      <w:r w:rsidRPr="00971076">
        <w:rPr>
          <w:rFonts w:ascii="Times New Roman" w:hAnsi="Times New Roman" w:cs="Times New Roman"/>
          <w:b/>
          <w:sz w:val="28"/>
          <w:szCs w:val="28"/>
          <w:lang w:val="ru-RU"/>
        </w:rPr>
        <w:t>380.83</w:t>
      </w:r>
    </w:p>
    <w:p w14:paraId="40FD1E02" w14:textId="49750945" w:rsidR="00971076" w:rsidRDefault="00971076" w:rsidP="00971076">
      <w:pPr>
        <w:shd w:val="clear" w:color="auto" w:fill="FFFFFF"/>
        <w:spacing w:line="24" w:lineRule="atLeast"/>
        <w:rPr>
          <w:rFonts w:ascii="Times New Roman" w:hAnsi="Times New Roman" w:cs="Times New Roman"/>
          <w:b/>
          <w:sz w:val="28"/>
          <w:szCs w:val="28"/>
          <w:lang w:val="ru-RU"/>
        </w:rPr>
      </w:pPr>
    </w:p>
    <w:p w14:paraId="29F1850B" w14:textId="72546737" w:rsidR="00971076" w:rsidRDefault="00971076" w:rsidP="00971076">
      <w:pPr>
        <w:shd w:val="clear" w:color="auto" w:fill="FFFFFF"/>
        <w:spacing w:line="24" w:lineRule="atLeast"/>
        <w:rPr>
          <w:rFonts w:ascii="Times New Roman" w:hAnsi="Times New Roman" w:cs="Times New Roman"/>
          <w:b/>
          <w:sz w:val="28"/>
          <w:szCs w:val="28"/>
          <w:lang w:val="ru-RU"/>
        </w:rPr>
      </w:pPr>
      <w:r>
        <w:rPr>
          <w:rFonts w:ascii="Times New Roman" w:hAnsi="Times New Roman" w:cs="Times New Roman"/>
          <w:b/>
          <w:sz w:val="28"/>
          <w:szCs w:val="28"/>
          <w:lang w:val="ru-RU"/>
        </w:rPr>
        <w:t>Енина К.М.</w:t>
      </w:r>
    </w:p>
    <w:p w14:paraId="6A920CD6" w14:textId="1334196B" w:rsidR="00971076" w:rsidRPr="00971076" w:rsidRDefault="00971076" w:rsidP="00971076">
      <w:pPr>
        <w:shd w:val="clear" w:color="auto" w:fill="FFFFFF"/>
        <w:spacing w:line="24" w:lineRule="atLeast"/>
        <w:rPr>
          <w:rFonts w:ascii="Times New Roman" w:hAnsi="Times New Roman" w:cs="Times New Roman"/>
          <w:bCs/>
          <w:sz w:val="28"/>
          <w:szCs w:val="28"/>
          <w:lang w:val="ru-RU"/>
        </w:rPr>
      </w:pPr>
      <w:r w:rsidRPr="00971076">
        <w:rPr>
          <w:rFonts w:ascii="Times New Roman" w:hAnsi="Times New Roman" w:cs="Times New Roman"/>
          <w:bCs/>
          <w:sz w:val="28"/>
          <w:szCs w:val="28"/>
          <w:lang w:val="ru-RU"/>
        </w:rPr>
        <w:t>Аспирант,</w:t>
      </w:r>
    </w:p>
    <w:p w14:paraId="709DE9FC" w14:textId="77777777" w:rsidR="00971076" w:rsidRPr="00971076" w:rsidRDefault="00971076" w:rsidP="00971076">
      <w:pPr>
        <w:shd w:val="clear" w:color="auto" w:fill="FFFFFF"/>
        <w:spacing w:line="24" w:lineRule="atLeast"/>
        <w:rPr>
          <w:rFonts w:ascii="Times New Roman" w:hAnsi="Times New Roman" w:cs="Times New Roman"/>
          <w:bCs/>
          <w:sz w:val="28"/>
          <w:szCs w:val="28"/>
          <w:lang w:val="ru-RU"/>
        </w:rPr>
      </w:pPr>
      <w:r w:rsidRPr="00971076">
        <w:rPr>
          <w:rFonts w:ascii="Times New Roman" w:hAnsi="Times New Roman" w:cs="Times New Roman"/>
          <w:bCs/>
          <w:sz w:val="28"/>
          <w:szCs w:val="28"/>
          <w:lang w:val="ru-RU"/>
        </w:rPr>
        <w:t>Российская Федерация, Санкт-Петербург</w:t>
      </w:r>
    </w:p>
    <w:p w14:paraId="6B18C2EF" w14:textId="5401B9BE" w:rsidR="00971076" w:rsidRDefault="00971076" w:rsidP="00971076">
      <w:pPr>
        <w:shd w:val="clear" w:color="auto" w:fill="FFFFFF"/>
        <w:spacing w:line="24" w:lineRule="atLeast"/>
        <w:rPr>
          <w:rFonts w:ascii="Times New Roman" w:hAnsi="Times New Roman" w:cs="Times New Roman"/>
          <w:bCs/>
          <w:sz w:val="28"/>
          <w:szCs w:val="28"/>
          <w:lang w:val="ru-RU"/>
        </w:rPr>
      </w:pPr>
      <w:r w:rsidRPr="00971076">
        <w:rPr>
          <w:rFonts w:ascii="Times New Roman" w:hAnsi="Times New Roman" w:cs="Times New Roman"/>
          <w:bCs/>
          <w:sz w:val="28"/>
          <w:szCs w:val="28"/>
          <w:lang w:val="ru-RU"/>
        </w:rPr>
        <w:t>Международный банковский институт имени Анатолия Собчака</w:t>
      </w:r>
      <w:r w:rsidRPr="00971076">
        <w:rPr>
          <w:rFonts w:ascii="Times New Roman" w:hAnsi="Times New Roman" w:cs="Times New Roman"/>
          <w:bCs/>
          <w:sz w:val="28"/>
          <w:szCs w:val="28"/>
          <w:lang w:val="ru-RU"/>
        </w:rPr>
        <w:cr/>
      </w:r>
    </w:p>
    <w:p w14:paraId="613F804B" w14:textId="79B40215" w:rsidR="00971076" w:rsidRPr="00971076" w:rsidRDefault="001A2E03" w:rsidP="00971076">
      <w:pPr>
        <w:shd w:val="clear" w:color="auto" w:fill="FFFFFF"/>
        <w:spacing w:line="24" w:lineRule="atLeast"/>
        <w:rPr>
          <w:rFonts w:ascii="Times New Roman" w:hAnsi="Times New Roman" w:cs="Times New Roman"/>
          <w:b/>
          <w:sz w:val="28"/>
          <w:szCs w:val="28"/>
          <w:lang w:val="ru-RU"/>
        </w:rPr>
      </w:pPr>
      <w:r>
        <w:rPr>
          <w:rFonts w:ascii="Times New Roman" w:hAnsi="Times New Roman" w:cs="Times New Roman"/>
          <w:b/>
          <w:sz w:val="28"/>
          <w:szCs w:val="28"/>
          <w:lang w:val="ru-RU"/>
        </w:rPr>
        <w:t xml:space="preserve">Научный руководитель: </w:t>
      </w:r>
      <w:proofErr w:type="spellStart"/>
      <w:r w:rsidR="00971076" w:rsidRPr="00971076">
        <w:rPr>
          <w:rFonts w:ascii="Times New Roman" w:hAnsi="Times New Roman" w:cs="Times New Roman"/>
          <w:b/>
          <w:sz w:val="28"/>
          <w:szCs w:val="28"/>
          <w:lang w:val="ru-RU"/>
        </w:rPr>
        <w:t>Шарафанова</w:t>
      </w:r>
      <w:proofErr w:type="spellEnd"/>
      <w:r w:rsidR="00971076" w:rsidRPr="00971076">
        <w:rPr>
          <w:rFonts w:ascii="Times New Roman" w:hAnsi="Times New Roman" w:cs="Times New Roman"/>
          <w:b/>
          <w:sz w:val="28"/>
          <w:szCs w:val="28"/>
          <w:lang w:val="ru-RU"/>
        </w:rPr>
        <w:t xml:space="preserve"> Е.Е.</w:t>
      </w:r>
    </w:p>
    <w:p w14:paraId="26C32B92" w14:textId="77777777" w:rsidR="00971076" w:rsidRDefault="00971076" w:rsidP="00971076">
      <w:pPr>
        <w:shd w:val="clear" w:color="auto" w:fill="FFFFFF"/>
        <w:spacing w:line="24" w:lineRule="atLeast"/>
        <w:rPr>
          <w:rFonts w:ascii="Times New Roman" w:hAnsi="Times New Roman" w:cs="Times New Roman"/>
          <w:bCs/>
          <w:sz w:val="28"/>
          <w:szCs w:val="28"/>
          <w:lang w:val="ru-RU"/>
        </w:rPr>
      </w:pPr>
      <w:r>
        <w:rPr>
          <w:rFonts w:ascii="Times New Roman" w:hAnsi="Times New Roman" w:cs="Times New Roman"/>
          <w:bCs/>
          <w:sz w:val="28"/>
          <w:szCs w:val="28"/>
          <w:lang w:val="ru-RU"/>
        </w:rPr>
        <w:t>Проректор по научной работе, д.э.н., профессор</w:t>
      </w:r>
    </w:p>
    <w:p w14:paraId="286B4A5F" w14:textId="77777777" w:rsidR="00971076" w:rsidRPr="00971076" w:rsidRDefault="00971076" w:rsidP="00971076">
      <w:pPr>
        <w:shd w:val="clear" w:color="auto" w:fill="FFFFFF"/>
        <w:spacing w:line="24" w:lineRule="atLeast"/>
        <w:rPr>
          <w:rFonts w:ascii="Times New Roman" w:hAnsi="Times New Roman" w:cs="Times New Roman"/>
          <w:bCs/>
          <w:sz w:val="28"/>
          <w:szCs w:val="28"/>
          <w:lang w:val="ru-RU"/>
        </w:rPr>
      </w:pPr>
      <w:r w:rsidRPr="00971076">
        <w:rPr>
          <w:rFonts w:ascii="Times New Roman" w:hAnsi="Times New Roman" w:cs="Times New Roman"/>
          <w:bCs/>
          <w:sz w:val="28"/>
          <w:szCs w:val="28"/>
          <w:lang w:val="ru-RU"/>
        </w:rPr>
        <w:t>Российская Федерация, Санкт-Петербург</w:t>
      </w:r>
    </w:p>
    <w:p w14:paraId="0AE40D92" w14:textId="3710D92E" w:rsidR="00971076" w:rsidRPr="00971076" w:rsidRDefault="00971076" w:rsidP="00971076">
      <w:pPr>
        <w:shd w:val="clear" w:color="auto" w:fill="FFFFFF"/>
        <w:spacing w:line="24" w:lineRule="atLeast"/>
        <w:rPr>
          <w:rFonts w:ascii="Times New Roman" w:hAnsi="Times New Roman" w:cs="Times New Roman"/>
          <w:bCs/>
          <w:sz w:val="28"/>
          <w:szCs w:val="28"/>
          <w:lang w:val="ru-RU"/>
        </w:rPr>
      </w:pPr>
      <w:r w:rsidRPr="00971076">
        <w:rPr>
          <w:rFonts w:ascii="Times New Roman" w:hAnsi="Times New Roman" w:cs="Times New Roman"/>
          <w:bCs/>
          <w:sz w:val="28"/>
          <w:szCs w:val="28"/>
          <w:lang w:val="ru-RU"/>
        </w:rPr>
        <w:t>Международный банковский институт имени Анатолия Собчака</w:t>
      </w:r>
      <w:r>
        <w:rPr>
          <w:rFonts w:ascii="Times New Roman" w:hAnsi="Times New Roman" w:cs="Times New Roman"/>
          <w:bCs/>
          <w:sz w:val="28"/>
          <w:szCs w:val="28"/>
          <w:lang w:val="ru-RU"/>
        </w:rPr>
        <w:t xml:space="preserve"> </w:t>
      </w:r>
    </w:p>
    <w:p w14:paraId="4B01372A" w14:textId="77777777" w:rsidR="00971076" w:rsidRPr="00C25673" w:rsidRDefault="00971076" w:rsidP="00971076">
      <w:pPr>
        <w:shd w:val="clear" w:color="auto" w:fill="FFFFFF"/>
        <w:spacing w:line="24" w:lineRule="atLeast"/>
        <w:jc w:val="center"/>
        <w:rPr>
          <w:rFonts w:ascii="Times New Roman" w:hAnsi="Times New Roman" w:cs="Times New Roman"/>
          <w:b/>
          <w:sz w:val="28"/>
          <w:szCs w:val="28"/>
          <w:lang w:val="ru-RU"/>
        </w:rPr>
      </w:pPr>
    </w:p>
    <w:p w14:paraId="478A90CE" w14:textId="77777777" w:rsidR="00971076" w:rsidRDefault="00C25673" w:rsidP="00971076">
      <w:pPr>
        <w:shd w:val="clear" w:color="auto" w:fill="FFFFFF"/>
        <w:spacing w:line="24" w:lineRule="atLeast"/>
        <w:ind w:left="709"/>
        <w:jc w:val="both"/>
        <w:rPr>
          <w:rFonts w:ascii="Times New Roman" w:hAnsi="Times New Roman" w:cs="Times New Roman"/>
          <w:b/>
          <w:sz w:val="28"/>
          <w:szCs w:val="28"/>
          <w:lang w:val="ru-RU"/>
        </w:rPr>
      </w:pPr>
      <w:r w:rsidRPr="00C25673">
        <w:rPr>
          <w:rFonts w:ascii="Times New Roman" w:hAnsi="Times New Roman" w:cs="Times New Roman"/>
          <w:b/>
          <w:sz w:val="28"/>
          <w:szCs w:val="28"/>
          <w:lang w:val="ru-RU"/>
        </w:rPr>
        <w:t>Аннотация</w:t>
      </w:r>
    </w:p>
    <w:p w14:paraId="37BC6916" w14:textId="52183015" w:rsidR="00971076" w:rsidRDefault="00971076" w:rsidP="00971076">
      <w:pPr>
        <w:shd w:val="clear" w:color="auto" w:fill="FFFFFF"/>
        <w:spacing w:line="24" w:lineRule="atLeast"/>
        <w:ind w:left="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C25673" w:rsidRPr="00C25673">
        <w:rPr>
          <w:rFonts w:ascii="Times New Roman" w:hAnsi="Times New Roman" w:cs="Times New Roman"/>
          <w:sz w:val="28"/>
          <w:szCs w:val="28"/>
          <w:lang w:val="ru-RU"/>
        </w:rPr>
        <w:t xml:space="preserve"> данной статье проанализиров</w:t>
      </w:r>
      <w:r w:rsidR="00C25673">
        <w:rPr>
          <w:rFonts w:ascii="Times New Roman" w:hAnsi="Times New Roman" w:cs="Times New Roman"/>
          <w:sz w:val="28"/>
          <w:szCs w:val="28"/>
          <w:lang w:val="ru-RU"/>
        </w:rPr>
        <w:t>ан рынок вендоров отечественного программного обеспечения Российской Федерации, рассмотрена статистика и сделан вывод о тенденции к увеличению спроса высокотехнологичных компаний в отечественных программных продукт</w:t>
      </w:r>
      <w:r w:rsidR="00C25673" w:rsidRPr="00C25673">
        <w:rPr>
          <w:rFonts w:ascii="Times New Roman" w:hAnsi="Times New Roman" w:cs="Times New Roman"/>
          <w:sz w:val="28"/>
          <w:szCs w:val="28"/>
          <w:lang w:val="ru-RU"/>
        </w:rPr>
        <w:t>ах</w:t>
      </w:r>
      <w:r w:rsidR="00C25673">
        <w:rPr>
          <w:rFonts w:ascii="Times New Roman" w:hAnsi="Times New Roman" w:cs="Times New Roman"/>
          <w:sz w:val="28"/>
          <w:szCs w:val="28"/>
          <w:lang w:val="ru-RU"/>
        </w:rPr>
        <w:t xml:space="preserve">. </w:t>
      </w:r>
      <w:r w:rsidR="00C25673" w:rsidRPr="00C25673">
        <w:rPr>
          <w:rFonts w:ascii="Times New Roman" w:hAnsi="Times New Roman" w:cs="Times New Roman"/>
          <w:sz w:val="28"/>
          <w:szCs w:val="28"/>
          <w:lang w:val="ru-RU"/>
        </w:rPr>
        <w:t xml:space="preserve">В статье выявлены угрозы экономического развития на основе существующих тенденций на рынке </w:t>
      </w:r>
      <w:r w:rsidR="00FF2B84" w:rsidRPr="00C25673">
        <w:rPr>
          <w:rFonts w:ascii="Times New Roman" w:hAnsi="Times New Roman" w:cs="Times New Roman"/>
          <w:sz w:val="28"/>
          <w:szCs w:val="28"/>
          <w:lang w:val="ru-RU"/>
        </w:rPr>
        <w:t>отечественных</w:t>
      </w:r>
      <w:r w:rsidR="00C25673" w:rsidRPr="00C25673">
        <w:rPr>
          <w:rFonts w:ascii="Times New Roman" w:hAnsi="Times New Roman" w:cs="Times New Roman"/>
          <w:sz w:val="28"/>
          <w:szCs w:val="28"/>
          <w:lang w:val="ru-RU"/>
        </w:rPr>
        <w:t xml:space="preserve"> программных продуктов. Также автором работы сделан вывод о дальнейшем развитии российских вендоров ПО. </w:t>
      </w:r>
    </w:p>
    <w:p w14:paraId="4905C67E" w14:textId="77777777" w:rsidR="00971076" w:rsidRDefault="00C25673" w:rsidP="00971076">
      <w:pPr>
        <w:shd w:val="clear" w:color="auto" w:fill="FFFFFF"/>
        <w:spacing w:line="24" w:lineRule="atLeast"/>
        <w:ind w:left="709"/>
        <w:jc w:val="both"/>
        <w:rPr>
          <w:rFonts w:ascii="Times New Roman" w:hAnsi="Times New Roman" w:cs="Times New Roman"/>
          <w:b/>
          <w:sz w:val="28"/>
          <w:szCs w:val="28"/>
          <w:lang w:val="ru-RU"/>
        </w:rPr>
      </w:pPr>
      <w:r w:rsidRPr="00FF2B84">
        <w:rPr>
          <w:rFonts w:ascii="Times New Roman" w:hAnsi="Times New Roman" w:cs="Times New Roman"/>
          <w:b/>
          <w:sz w:val="28"/>
          <w:szCs w:val="28"/>
          <w:lang w:val="ru-RU"/>
        </w:rPr>
        <w:t>Ключевые слова</w:t>
      </w:r>
    </w:p>
    <w:p w14:paraId="78351DB3" w14:textId="04F96D39" w:rsidR="00C25673" w:rsidRDefault="00971076" w:rsidP="00971076">
      <w:pPr>
        <w:shd w:val="clear" w:color="auto" w:fill="FFFFFF"/>
        <w:spacing w:line="24" w:lineRule="atLeast"/>
        <w:ind w:left="709"/>
        <w:jc w:val="both"/>
        <w:rPr>
          <w:rFonts w:ascii="Times New Roman" w:hAnsi="Times New Roman" w:cs="Times New Roman"/>
          <w:sz w:val="28"/>
          <w:szCs w:val="28"/>
          <w:lang w:val="ru-RU"/>
        </w:rPr>
      </w:pPr>
      <w:r w:rsidRPr="00971076">
        <w:rPr>
          <w:rFonts w:ascii="Times New Roman" w:hAnsi="Times New Roman" w:cs="Times New Roman"/>
          <w:bCs/>
          <w:sz w:val="28"/>
          <w:szCs w:val="28"/>
          <w:lang w:val="ru-RU"/>
        </w:rPr>
        <w:t>В</w:t>
      </w:r>
      <w:r w:rsidR="00C25673" w:rsidRPr="00971076">
        <w:rPr>
          <w:rFonts w:ascii="Times New Roman" w:hAnsi="Times New Roman" w:cs="Times New Roman"/>
          <w:bCs/>
          <w:sz w:val="28"/>
          <w:szCs w:val="28"/>
          <w:lang w:val="ru-RU"/>
        </w:rPr>
        <w:t>ен</w:t>
      </w:r>
      <w:r w:rsidR="00B56154" w:rsidRPr="00B56154">
        <w:rPr>
          <w:rFonts w:ascii="Times New Roman" w:hAnsi="Times New Roman" w:cs="Times New Roman"/>
          <w:sz w:val="28"/>
          <w:szCs w:val="28"/>
          <w:lang w:val="ru-RU"/>
        </w:rPr>
        <w:t>дор, программное обеспечение, вызов, угроза, импортозамещение.</w:t>
      </w:r>
    </w:p>
    <w:p w14:paraId="6FDFE425" w14:textId="77777777" w:rsidR="00971076" w:rsidRPr="00B56154" w:rsidRDefault="00971076" w:rsidP="00971076">
      <w:pPr>
        <w:shd w:val="clear" w:color="auto" w:fill="FFFFFF"/>
        <w:spacing w:line="24" w:lineRule="atLeast"/>
        <w:jc w:val="both"/>
        <w:rPr>
          <w:rFonts w:ascii="Times New Roman" w:hAnsi="Times New Roman" w:cs="Times New Roman"/>
          <w:b/>
          <w:sz w:val="28"/>
          <w:szCs w:val="28"/>
          <w:lang w:val="ru-RU"/>
        </w:rPr>
      </w:pPr>
    </w:p>
    <w:p w14:paraId="02E11D68" w14:textId="77777777" w:rsidR="00971076" w:rsidRDefault="00971076" w:rsidP="00971076">
      <w:pPr>
        <w:shd w:val="clear" w:color="auto" w:fill="FFFFFF"/>
        <w:spacing w:line="24" w:lineRule="atLeast"/>
        <w:jc w:val="center"/>
        <w:rPr>
          <w:rFonts w:ascii="Times New Roman" w:hAnsi="Times New Roman" w:cs="Times New Roman"/>
          <w:b/>
          <w:sz w:val="28"/>
          <w:szCs w:val="28"/>
          <w:lang w:val="ru-RU"/>
        </w:rPr>
      </w:pPr>
      <w:r w:rsidRPr="00C25673">
        <w:rPr>
          <w:rFonts w:ascii="Times New Roman" w:hAnsi="Times New Roman" w:cs="Times New Roman"/>
          <w:b/>
          <w:sz w:val="28"/>
          <w:szCs w:val="28"/>
          <w:lang w:val="ru-RU"/>
        </w:rPr>
        <w:t xml:space="preserve">ВЫЗОВЫ И УГРОЗЫ ЭКОНОМИЧЕСКОГО РАЗВИТИЯ ВЕНДОРОВ ОТЧЕСТВЕННОГО ПРОГРАММНОГО ОБЕСПЕЧЕНИЯ </w:t>
      </w:r>
    </w:p>
    <w:p w14:paraId="28C158B6" w14:textId="573754D0" w:rsidR="00285104" w:rsidRPr="00971076" w:rsidRDefault="00971076" w:rsidP="00971076">
      <w:pPr>
        <w:shd w:val="clear" w:color="auto" w:fill="FFFFFF"/>
        <w:spacing w:line="24" w:lineRule="atLeast"/>
        <w:rPr>
          <w:rFonts w:ascii="Times New Roman" w:hAnsi="Times New Roman" w:cs="Times New Roman"/>
          <w:b/>
          <w:bCs/>
          <w:sz w:val="28"/>
          <w:szCs w:val="28"/>
          <w:lang w:val="en-US"/>
        </w:rPr>
      </w:pPr>
      <w:proofErr w:type="spellStart"/>
      <w:r w:rsidRPr="00971076">
        <w:rPr>
          <w:rFonts w:ascii="Times New Roman" w:hAnsi="Times New Roman" w:cs="Times New Roman"/>
          <w:b/>
          <w:bCs/>
          <w:sz w:val="28"/>
          <w:szCs w:val="28"/>
          <w:lang w:val="en-US"/>
        </w:rPr>
        <w:t>Enina</w:t>
      </w:r>
      <w:proofErr w:type="spellEnd"/>
      <w:r w:rsidRPr="00971076">
        <w:rPr>
          <w:rFonts w:ascii="Times New Roman" w:hAnsi="Times New Roman" w:cs="Times New Roman"/>
          <w:b/>
          <w:bCs/>
          <w:sz w:val="28"/>
          <w:szCs w:val="28"/>
          <w:lang w:val="en-US"/>
        </w:rPr>
        <w:t xml:space="preserve"> K.M.</w:t>
      </w:r>
    </w:p>
    <w:p w14:paraId="00BDA128" w14:textId="6D482B39" w:rsidR="00971076" w:rsidRDefault="00971076" w:rsidP="00971076">
      <w:pPr>
        <w:shd w:val="clear" w:color="auto" w:fill="FFFFFF"/>
        <w:spacing w:line="24" w:lineRule="atLeast"/>
        <w:rPr>
          <w:rFonts w:ascii="Times New Roman" w:hAnsi="Times New Roman" w:cs="Times New Roman"/>
          <w:sz w:val="28"/>
          <w:szCs w:val="28"/>
          <w:lang w:val="en-US"/>
        </w:rPr>
      </w:pPr>
      <w:r>
        <w:rPr>
          <w:rFonts w:ascii="Times New Roman" w:hAnsi="Times New Roman" w:cs="Times New Roman"/>
          <w:sz w:val="28"/>
          <w:szCs w:val="28"/>
          <w:lang w:val="en-US"/>
        </w:rPr>
        <w:t>G</w:t>
      </w:r>
      <w:r w:rsidRPr="00971076">
        <w:rPr>
          <w:rFonts w:ascii="Times New Roman" w:hAnsi="Times New Roman" w:cs="Times New Roman"/>
          <w:sz w:val="28"/>
          <w:szCs w:val="28"/>
          <w:lang w:val="en-US"/>
        </w:rPr>
        <w:t>raduate student</w:t>
      </w:r>
    </w:p>
    <w:p w14:paraId="6AC4A180" w14:textId="77777777" w:rsidR="00971076" w:rsidRPr="00971076" w:rsidRDefault="00971076" w:rsidP="00971076">
      <w:pPr>
        <w:shd w:val="clear" w:color="auto" w:fill="FFFFFF"/>
        <w:spacing w:line="24" w:lineRule="atLeast"/>
        <w:rPr>
          <w:rFonts w:ascii="Times New Roman" w:hAnsi="Times New Roman" w:cs="Times New Roman"/>
          <w:sz w:val="28"/>
          <w:szCs w:val="28"/>
          <w:lang w:val="en-US"/>
        </w:rPr>
      </w:pPr>
      <w:r w:rsidRPr="00971076">
        <w:rPr>
          <w:rFonts w:ascii="Times New Roman" w:hAnsi="Times New Roman" w:cs="Times New Roman"/>
          <w:sz w:val="28"/>
          <w:szCs w:val="28"/>
          <w:lang w:val="en-US"/>
        </w:rPr>
        <w:t>Russian Federation, Saint-Petersburg</w:t>
      </w:r>
    </w:p>
    <w:p w14:paraId="08F76353" w14:textId="04AF0CEB" w:rsidR="00971076" w:rsidRDefault="00971076" w:rsidP="00971076">
      <w:pPr>
        <w:shd w:val="clear" w:color="auto" w:fill="FFFFFF"/>
        <w:spacing w:line="24" w:lineRule="atLeast"/>
        <w:rPr>
          <w:rFonts w:ascii="Times New Roman" w:hAnsi="Times New Roman" w:cs="Times New Roman"/>
          <w:sz w:val="28"/>
          <w:szCs w:val="28"/>
          <w:lang w:val="en-US"/>
        </w:rPr>
      </w:pPr>
      <w:r w:rsidRPr="00971076">
        <w:rPr>
          <w:rFonts w:ascii="Times New Roman" w:hAnsi="Times New Roman" w:cs="Times New Roman"/>
          <w:sz w:val="28"/>
          <w:szCs w:val="28"/>
          <w:lang w:val="en-US"/>
        </w:rPr>
        <w:t xml:space="preserve">International Banking Institute named after </w:t>
      </w:r>
      <w:proofErr w:type="spellStart"/>
      <w:r w:rsidRPr="00971076">
        <w:rPr>
          <w:rFonts w:ascii="Times New Roman" w:hAnsi="Times New Roman" w:cs="Times New Roman"/>
          <w:sz w:val="28"/>
          <w:szCs w:val="28"/>
          <w:lang w:val="en-US"/>
        </w:rPr>
        <w:t>Anatoliy</w:t>
      </w:r>
      <w:proofErr w:type="spellEnd"/>
      <w:r w:rsidRPr="00971076">
        <w:rPr>
          <w:rFonts w:ascii="Times New Roman" w:hAnsi="Times New Roman" w:cs="Times New Roman"/>
          <w:sz w:val="28"/>
          <w:szCs w:val="28"/>
          <w:lang w:val="en-US"/>
        </w:rPr>
        <w:t xml:space="preserve"> Sobchak</w:t>
      </w:r>
    </w:p>
    <w:p w14:paraId="4A8F335D" w14:textId="72B26620" w:rsidR="00971076" w:rsidRDefault="00971076" w:rsidP="00971076">
      <w:pPr>
        <w:shd w:val="clear" w:color="auto" w:fill="FFFFFF"/>
        <w:spacing w:line="24" w:lineRule="atLeast"/>
        <w:rPr>
          <w:rFonts w:ascii="Times New Roman" w:hAnsi="Times New Roman" w:cs="Times New Roman"/>
          <w:sz w:val="28"/>
          <w:szCs w:val="28"/>
          <w:lang w:val="en-US"/>
        </w:rPr>
      </w:pPr>
    </w:p>
    <w:p w14:paraId="7941ECE6" w14:textId="6C010291" w:rsidR="00971076" w:rsidRPr="00971076" w:rsidRDefault="001A2E03" w:rsidP="00971076">
      <w:pPr>
        <w:shd w:val="clear" w:color="auto" w:fill="FFFFFF"/>
        <w:spacing w:line="24" w:lineRule="atLeast"/>
        <w:rPr>
          <w:rFonts w:ascii="Times New Roman" w:hAnsi="Times New Roman" w:cs="Times New Roman"/>
          <w:b/>
          <w:bCs/>
          <w:sz w:val="28"/>
          <w:szCs w:val="28"/>
          <w:lang w:val="en-US"/>
        </w:rPr>
      </w:pPr>
      <w:r w:rsidRPr="001A2E03">
        <w:rPr>
          <w:rFonts w:ascii="Times New Roman" w:hAnsi="Times New Roman" w:cs="Times New Roman"/>
          <w:b/>
          <w:bCs/>
          <w:sz w:val="28"/>
          <w:szCs w:val="28"/>
          <w:lang w:val="en-US"/>
        </w:rPr>
        <w:t xml:space="preserve">Scientific director: </w:t>
      </w:r>
      <w:proofErr w:type="spellStart"/>
      <w:r w:rsidR="00971076" w:rsidRPr="00971076">
        <w:rPr>
          <w:rFonts w:ascii="Times New Roman" w:hAnsi="Times New Roman" w:cs="Times New Roman"/>
          <w:b/>
          <w:bCs/>
          <w:sz w:val="28"/>
          <w:szCs w:val="28"/>
          <w:lang w:val="en-US"/>
        </w:rPr>
        <w:t>Shaorafanova</w:t>
      </w:r>
      <w:proofErr w:type="spellEnd"/>
      <w:r w:rsidR="00971076" w:rsidRPr="00971076">
        <w:rPr>
          <w:rFonts w:ascii="Times New Roman" w:hAnsi="Times New Roman" w:cs="Times New Roman"/>
          <w:b/>
          <w:bCs/>
          <w:sz w:val="28"/>
          <w:szCs w:val="28"/>
          <w:lang w:val="en-US"/>
        </w:rPr>
        <w:t xml:space="preserve"> E.E.</w:t>
      </w:r>
    </w:p>
    <w:p w14:paraId="2C8137BF" w14:textId="5D64A605" w:rsidR="00971076" w:rsidRPr="00971076" w:rsidRDefault="00971076" w:rsidP="00971076">
      <w:pPr>
        <w:shd w:val="clear" w:color="auto" w:fill="FFFFFF"/>
        <w:spacing w:line="24" w:lineRule="atLeast"/>
        <w:rPr>
          <w:rFonts w:ascii="Times New Roman" w:hAnsi="Times New Roman" w:cs="Times New Roman"/>
          <w:sz w:val="28"/>
          <w:szCs w:val="28"/>
          <w:lang w:val="en-US"/>
        </w:rPr>
      </w:pPr>
      <w:r w:rsidRPr="00971076">
        <w:rPr>
          <w:rFonts w:ascii="Times New Roman" w:hAnsi="Times New Roman" w:cs="Times New Roman"/>
          <w:sz w:val="28"/>
          <w:szCs w:val="28"/>
          <w:lang w:val="en-US"/>
        </w:rPr>
        <w:t>Vice-Rector for Research, Doctor of Economics, Professor</w:t>
      </w:r>
    </w:p>
    <w:p w14:paraId="7444611E" w14:textId="77777777" w:rsidR="00971076" w:rsidRPr="00971076" w:rsidRDefault="00971076" w:rsidP="00971076">
      <w:pPr>
        <w:shd w:val="clear" w:color="auto" w:fill="FFFFFF"/>
        <w:spacing w:line="24" w:lineRule="atLeast"/>
        <w:rPr>
          <w:rFonts w:ascii="Times New Roman" w:hAnsi="Times New Roman" w:cs="Times New Roman"/>
          <w:sz w:val="28"/>
          <w:szCs w:val="28"/>
          <w:lang w:val="en-US"/>
        </w:rPr>
      </w:pPr>
      <w:r w:rsidRPr="00971076">
        <w:rPr>
          <w:rFonts w:ascii="Times New Roman" w:hAnsi="Times New Roman" w:cs="Times New Roman"/>
          <w:sz w:val="28"/>
          <w:szCs w:val="28"/>
          <w:lang w:val="en-US"/>
        </w:rPr>
        <w:t>Russian Federation, St. Petersburg</w:t>
      </w:r>
    </w:p>
    <w:p w14:paraId="4104D6AE" w14:textId="712A20A6" w:rsidR="00971076" w:rsidRDefault="00971076" w:rsidP="00971076">
      <w:pPr>
        <w:shd w:val="clear" w:color="auto" w:fill="FFFFFF"/>
        <w:spacing w:line="24" w:lineRule="atLeast"/>
        <w:rPr>
          <w:rFonts w:ascii="Times New Roman" w:hAnsi="Times New Roman" w:cs="Times New Roman"/>
          <w:sz w:val="28"/>
          <w:szCs w:val="28"/>
          <w:lang w:val="en-US"/>
        </w:rPr>
      </w:pPr>
      <w:r w:rsidRPr="00971076">
        <w:rPr>
          <w:rFonts w:ascii="Times New Roman" w:hAnsi="Times New Roman" w:cs="Times New Roman"/>
          <w:sz w:val="28"/>
          <w:szCs w:val="28"/>
          <w:lang w:val="en-US"/>
        </w:rPr>
        <w:t>International Banking Institute named after Anatoly Sobchak</w:t>
      </w:r>
    </w:p>
    <w:p w14:paraId="78336C20" w14:textId="67C7F026" w:rsidR="00971076" w:rsidRDefault="00971076" w:rsidP="00971076">
      <w:pPr>
        <w:shd w:val="clear" w:color="auto" w:fill="FFFFFF"/>
        <w:spacing w:line="24" w:lineRule="atLeast"/>
        <w:rPr>
          <w:rFonts w:ascii="Times New Roman" w:hAnsi="Times New Roman" w:cs="Times New Roman"/>
          <w:sz w:val="28"/>
          <w:szCs w:val="28"/>
          <w:lang w:val="en-US"/>
        </w:rPr>
      </w:pPr>
    </w:p>
    <w:p w14:paraId="59428BF6" w14:textId="69004CE8" w:rsidR="00971076" w:rsidRPr="00971076" w:rsidRDefault="00971076" w:rsidP="00971076">
      <w:pPr>
        <w:shd w:val="clear" w:color="auto" w:fill="FFFFFF"/>
        <w:spacing w:line="24" w:lineRule="atLeast"/>
        <w:ind w:left="709"/>
        <w:rPr>
          <w:rFonts w:ascii="Times New Roman" w:hAnsi="Times New Roman" w:cs="Times New Roman"/>
          <w:b/>
          <w:bCs/>
          <w:sz w:val="28"/>
          <w:szCs w:val="28"/>
          <w:lang w:val="en-US"/>
        </w:rPr>
      </w:pPr>
      <w:r w:rsidRPr="00971076">
        <w:rPr>
          <w:rFonts w:ascii="Times New Roman" w:hAnsi="Times New Roman" w:cs="Times New Roman"/>
          <w:b/>
          <w:bCs/>
          <w:sz w:val="28"/>
          <w:szCs w:val="28"/>
          <w:lang w:val="en-US"/>
        </w:rPr>
        <w:t>Abstract</w:t>
      </w:r>
    </w:p>
    <w:p w14:paraId="7C54CAA0" w14:textId="4B9359BD" w:rsidR="00971076" w:rsidRDefault="00971076" w:rsidP="00971076">
      <w:pPr>
        <w:shd w:val="clear" w:color="auto" w:fill="FFFFFF"/>
        <w:spacing w:line="24" w:lineRule="atLeast"/>
        <w:ind w:left="709"/>
        <w:jc w:val="both"/>
        <w:rPr>
          <w:rFonts w:ascii="Times New Roman" w:hAnsi="Times New Roman" w:cs="Times New Roman"/>
          <w:sz w:val="28"/>
          <w:szCs w:val="28"/>
          <w:lang w:val="en-US"/>
        </w:rPr>
      </w:pPr>
      <w:r w:rsidRPr="00971076">
        <w:rPr>
          <w:rFonts w:ascii="Times New Roman" w:hAnsi="Times New Roman" w:cs="Times New Roman"/>
          <w:sz w:val="28"/>
          <w:szCs w:val="28"/>
          <w:lang w:val="en-US"/>
        </w:rPr>
        <w:t xml:space="preserve">This article analyzes the market of domestic software vendors in the Russian Federation, examines statistics and draws a conclusion about the trend toward increasing demand from high-tech companies for domestic software products. The article identifies threats to economic development </w:t>
      </w:r>
      <w:r w:rsidRPr="00971076">
        <w:rPr>
          <w:rFonts w:ascii="Times New Roman" w:hAnsi="Times New Roman" w:cs="Times New Roman"/>
          <w:sz w:val="28"/>
          <w:szCs w:val="28"/>
          <w:lang w:val="en-US"/>
        </w:rPr>
        <w:lastRenderedPageBreak/>
        <w:t>based on existing trends in the market of domestic software products. The author of the work also concluded about the further development of Russian software vendors.</w:t>
      </w:r>
    </w:p>
    <w:p w14:paraId="016809C8" w14:textId="77777777" w:rsidR="00971076" w:rsidRPr="00971076" w:rsidRDefault="00971076" w:rsidP="00971076">
      <w:pPr>
        <w:shd w:val="clear" w:color="auto" w:fill="FFFFFF"/>
        <w:spacing w:line="24" w:lineRule="atLeast"/>
        <w:ind w:left="709"/>
        <w:jc w:val="both"/>
        <w:rPr>
          <w:rFonts w:ascii="Times New Roman" w:hAnsi="Times New Roman" w:cs="Times New Roman"/>
          <w:b/>
          <w:bCs/>
          <w:sz w:val="28"/>
          <w:szCs w:val="28"/>
          <w:lang w:val="en-US"/>
        </w:rPr>
      </w:pPr>
      <w:r w:rsidRPr="00971076">
        <w:rPr>
          <w:rFonts w:ascii="Times New Roman" w:hAnsi="Times New Roman" w:cs="Times New Roman"/>
          <w:b/>
          <w:bCs/>
          <w:sz w:val="28"/>
          <w:szCs w:val="28"/>
          <w:lang w:val="en-US"/>
        </w:rPr>
        <w:t>Keywords</w:t>
      </w:r>
    </w:p>
    <w:p w14:paraId="20CECBDA" w14:textId="0F4BF183" w:rsidR="00971076" w:rsidRPr="00971076" w:rsidRDefault="00971076" w:rsidP="00971076">
      <w:pPr>
        <w:shd w:val="clear" w:color="auto" w:fill="FFFFFF"/>
        <w:spacing w:line="24" w:lineRule="atLeast"/>
        <w:ind w:left="709"/>
        <w:jc w:val="both"/>
        <w:rPr>
          <w:rFonts w:ascii="Times New Roman" w:hAnsi="Times New Roman" w:cs="Times New Roman"/>
          <w:sz w:val="28"/>
          <w:szCs w:val="28"/>
          <w:lang w:val="en-US"/>
        </w:rPr>
      </w:pPr>
      <w:r w:rsidRPr="00971076">
        <w:rPr>
          <w:rFonts w:ascii="Times New Roman" w:hAnsi="Times New Roman" w:cs="Times New Roman"/>
          <w:sz w:val="28"/>
          <w:szCs w:val="28"/>
          <w:lang w:val="en-US"/>
        </w:rPr>
        <w:t>Vendor, software, challenge, threat, import substitution.</w:t>
      </w:r>
    </w:p>
    <w:p w14:paraId="1C74FB30" w14:textId="4DBFDF4D" w:rsidR="00285104" w:rsidRDefault="00285104" w:rsidP="00971076">
      <w:pPr>
        <w:spacing w:line="24" w:lineRule="atLeast"/>
        <w:rPr>
          <w:rFonts w:ascii="Times New Roman" w:hAnsi="Times New Roman" w:cs="Times New Roman"/>
          <w:sz w:val="28"/>
          <w:szCs w:val="28"/>
          <w:lang w:val="en-US"/>
        </w:rPr>
      </w:pPr>
    </w:p>
    <w:p w14:paraId="54E66BD5" w14:textId="29208C18" w:rsidR="00971076" w:rsidRDefault="00971076" w:rsidP="00971076">
      <w:pPr>
        <w:spacing w:line="24" w:lineRule="atLeast"/>
        <w:jc w:val="center"/>
        <w:rPr>
          <w:rFonts w:ascii="Times New Roman" w:hAnsi="Times New Roman" w:cs="Times New Roman"/>
          <w:b/>
          <w:bCs/>
          <w:sz w:val="28"/>
          <w:szCs w:val="28"/>
          <w:lang w:val="en-US"/>
        </w:rPr>
      </w:pPr>
      <w:r w:rsidRPr="00971076">
        <w:rPr>
          <w:rFonts w:ascii="Times New Roman" w:hAnsi="Times New Roman" w:cs="Times New Roman"/>
          <w:b/>
          <w:bCs/>
          <w:sz w:val="28"/>
          <w:szCs w:val="28"/>
          <w:lang w:val="en-US"/>
        </w:rPr>
        <w:t>CHALLENGES AND THREATS TO ECONOMIC DEVELOPMENT OF NATIONAL SOFTWARE VENDORS</w:t>
      </w:r>
    </w:p>
    <w:p w14:paraId="60AB318F" w14:textId="77777777" w:rsidR="00971076" w:rsidRPr="00971076" w:rsidRDefault="00971076" w:rsidP="00971076">
      <w:pPr>
        <w:spacing w:line="24" w:lineRule="atLeast"/>
        <w:jc w:val="center"/>
        <w:rPr>
          <w:rFonts w:ascii="Times New Roman" w:hAnsi="Times New Roman" w:cs="Times New Roman"/>
          <w:b/>
          <w:bCs/>
          <w:sz w:val="28"/>
          <w:szCs w:val="28"/>
          <w:lang w:val="en-US"/>
        </w:rPr>
      </w:pPr>
    </w:p>
    <w:p w14:paraId="4ED51556" w14:textId="06653DED" w:rsidR="00285104" w:rsidRPr="00C25673" w:rsidRDefault="00971076" w:rsidP="00971076">
      <w:pPr>
        <w:spacing w:line="24" w:lineRule="atLeast"/>
        <w:ind w:firstLine="720"/>
        <w:jc w:val="both"/>
        <w:rPr>
          <w:rFonts w:ascii="Times New Roman" w:hAnsi="Times New Roman" w:cs="Times New Roman"/>
          <w:sz w:val="28"/>
          <w:szCs w:val="28"/>
        </w:rPr>
      </w:pPr>
      <w:r w:rsidRPr="00C25673">
        <w:rPr>
          <w:rFonts w:ascii="Times New Roman" w:hAnsi="Times New Roman" w:cs="Times New Roman"/>
          <w:sz w:val="28"/>
          <w:szCs w:val="28"/>
        </w:rPr>
        <w:t>Как, в сущности,</w:t>
      </w:r>
      <w:r w:rsidR="00C25673" w:rsidRPr="00C25673">
        <w:rPr>
          <w:rFonts w:ascii="Times New Roman" w:hAnsi="Times New Roman" w:cs="Times New Roman"/>
          <w:sz w:val="28"/>
          <w:szCs w:val="28"/>
        </w:rPr>
        <w:t xml:space="preserve"> своей устроен современный рынок высокотехнологичных компаний? В погоне за новыми решениями, которые существенно могут уменьшить трудозатраты сотрудников и одновременно увеличить эффективность производства, как часто компании ориентировались на источник этих решений: будет он отечественным или зарубежным? Современный мир диктует свои требования, к которым не все участники рынка могут быть готовы: не для всех это может быть экономически выгодным, не все участники могут быстро среагировать на изменения и поменять структуру, но может быть и такое, что изменения позволят стремительно вырваться в лидеры рынка. </w:t>
      </w:r>
    </w:p>
    <w:p w14:paraId="5FA06739" w14:textId="77777777" w:rsidR="00285104" w:rsidRPr="00C25673" w:rsidRDefault="00C25673" w:rsidP="00971076">
      <w:pPr>
        <w:spacing w:line="24" w:lineRule="atLeast"/>
        <w:ind w:firstLine="720"/>
        <w:jc w:val="both"/>
        <w:rPr>
          <w:rFonts w:ascii="Times New Roman" w:hAnsi="Times New Roman" w:cs="Times New Roman"/>
          <w:sz w:val="28"/>
          <w:szCs w:val="28"/>
        </w:rPr>
      </w:pPr>
      <w:r w:rsidRPr="00C25673">
        <w:rPr>
          <w:rFonts w:ascii="Times New Roman" w:hAnsi="Times New Roman" w:cs="Times New Roman"/>
          <w:sz w:val="28"/>
          <w:szCs w:val="28"/>
        </w:rPr>
        <w:t>В данной статье будет подробно рассмотрено развитие вендоров отечественного ПО: в связи с Постановлением Правительства Российской Федерации от 22 февраля 2023 г. № 296 внесены изменения в порядок государственной аккредитации ИТ-компаний. В связи с этим Постановлением активно идет процесс импортозамещения зарубежного ПО в высокотехнологичных компаниях, так как статус аккредитованной IT-организации имеет множество преимуществ, среди которых налоговые льготы, льготное кредитование, упрощение процедур по госзакупкам и т. д.</w:t>
      </w:r>
    </w:p>
    <w:p w14:paraId="27A4CD86" w14:textId="77777777" w:rsidR="00285104" w:rsidRPr="00C25673" w:rsidRDefault="00C25673" w:rsidP="00971076">
      <w:pPr>
        <w:spacing w:line="24" w:lineRule="atLeast"/>
        <w:jc w:val="both"/>
        <w:rPr>
          <w:rFonts w:ascii="Times New Roman" w:hAnsi="Times New Roman" w:cs="Times New Roman"/>
          <w:sz w:val="28"/>
          <w:szCs w:val="28"/>
        </w:rPr>
      </w:pPr>
      <w:r w:rsidRPr="00C25673">
        <w:rPr>
          <w:rFonts w:ascii="Times New Roman" w:hAnsi="Times New Roman" w:cs="Times New Roman"/>
          <w:sz w:val="28"/>
          <w:szCs w:val="28"/>
        </w:rPr>
        <w:t xml:space="preserve"> Однако вместо с преимуществами, которые несомненно получают аккредитованные IT-компании, есть ряд требований, которые должны соблюдаться в организациях. Одним из таких требований является использование отечественного ПО в процессе работы организаций. До 2020 года использование зарубежного ПО в российских организациях составляло более 80% от общего числа  использованного программного обеспечения. </w:t>
      </w:r>
    </w:p>
    <w:p w14:paraId="786D6305" w14:textId="77777777" w:rsidR="00285104" w:rsidRPr="00C25673" w:rsidRDefault="00C25673" w:rsidP="00971076">
      <w:pPr>
        <w:spacing w:line="24" w:lineRule="atLeast"/>
        <w:ind w:firstLine="720"/>
        <w:jc w:val="both"/>
        <w:rPr>
          <w:rFonts w:ascii="Times New Roman" w:hAnsi="Times New Roman" w:cs="Times New Roman"/>
          <w:sz w:val="28"/>
          <w:szCs w:val="28"/>
        </w:rPr>
      </w:pPr>
      <w:r w:rsidRPr="00C25673">
        <w:rPr>
          <w:rFonts w:ascii="Times New Roman" w:hAnsi="Times New Roman" w:cs="Times New Roman"/>
          <w:sz w:val="28"/>
          <w:szCs w:val="28"/>
        </w:rPr>
        <w:t xml:space="preserve">Рост спроса диктует рост предложения на рынке: высокотехнологичные компании с целью подтвердить или же сохранить статус аккредитованных организаций в 2023 году активно продолжили процесс импортозамещения зарубежного ПО - процесс, который подразумевал анализ рынка вендоров, разрабатывающих отечественное ПО. </w:t>
      </w:r>
    </w:p>
    <w:p w14:paraId="177CB2C0" w14:textId="3DD43195" w:rsidR="00285104" w:rsidRPr="001A2E03" w:rsidRDefault="00C25673" w:rsidP="001A2E03">
      <w:pPr>
        <w:spacing w:line="24" w:lineRule="atLeast"/>
        <w:ind w:firstLine="720"/>
        <w:jc w:val="both"/>
        <w:rPr>
          <w:rFonts w:ascii="Times New Roman" w:hAnsi="Times New Roman" w:cs="Times New Roman"/>
          <w:sz w:val="28"/>
          <w:szCs w:val="28"/>
          <w:lang w:val="ru-RU"/>
        </w:rPr>
      </w:pPr>
      <w:r w:rsidRPr="00C25673">
        <w:rPr>
          <w:rFonts w:ascii="Times New Roman" w:hAnsi="Times New Roman" w:cs="Times New Roman"/>
          <w:sz w:val="28"/>
          <w:szCs w:val="28"/>
        </w:rPr>
        <w:t>Проанализируем статистику российского ПО</w:t>
      </w:r>
      <w:r w:rsidR="001A2E03">
        <w:rPr>
          <w:rFonts w:ascii="Times New Roman" w:hAnsi="Times New Roman" w:cs="Times New Roman"/>
          <w:sz w:val="28"/>
          <w:szCs w:val="28"/>
          <w:lang w:val="ru-RU"/>
        </w:rPr>
        <w:t>.</w:t>
      </w:r>
    </w:p>
    <w:p w14:paraId="71F21CC5" w14:textId="77777777" w:rsidR="00285104" w:rsidRPr="00C25673" w:rsidRDefault="00B56154" w:rsidP="00971076">
      <w:pPr>
        <w:spacing w:line="24" w:lineRule="atLeast"/>
        <w:jc w:val="both"/>
        <w:rPr>
          <w:rFonts w:ascii="Times New Roman" w:hAnsi="Times New Roman" w:cs="Times New Roman"/>
          <w:sz w:val="28"/>
          <w:szCs w:val="28"/>
        </w:rPr>
      </w:pPr>
      <w:r>
        <w:rPr>
          <w:noProof/>
          <w:lang w:val="ru-RU"/>
        </w:rPr>
        <w:lastRenderedPageBreak/>
        <w:drawing>
          <wp:anchor distT="0" distB="0" distL="114300" distR="114300" simplePos="0" relativeHeight="251658240" behindDoc="0" locked="0" layoutInCell="1" allowOverlap="1" wp14:anchorId="4B30035B" wp14:editId="3DADB79D">
            <wp:simplePos x="0" y="0"/>
            <wp:positionH relativeFrom="margin">
              <wp:posOffset>370840</wp:posOffset>
            </wp:positionH>
            <wp:positionV relativeFrom="paragraph">
              <wp:posOffset>6350</wp:posOffset>
            </wp:positionV>
            <wp:extent cx="5229225" cy="2847975"/>
            <wp:effectExtent l="0" t="0" r="9525" b="9525"/>
            <wp:wrapThrough wrapText="bothSides">
              <wp:wrapPolygon edited="0">
                <wp:start x="0" y="0"/>
                <wp:lineTo x="0" y="21528"/>
                <wp:lineTo x="21561" y="21528"/>
                <wp:lineTo x="21561"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4D952EE4" w14:textId="74C81B09" w:rsidR="001A2E03" w:rsidRPr="00C56DDD" w:rsidRDefault="001A2E03" w:rsidP="00C56DDD">
      <w:pPr>
        <w:spacing w:line="24" w:lineRule="atLeast"/>
        <w:ind w:firstLine="720"/>
        <w:jc w:val="center"/>
        <w:rPr>
          <w:rFonts w:ascii="Times New Roman" w:hAnsi="Times New Roman" w:cs="Times New Roman"/>
          <w:i/>
          <w:iCs/>
          <w:sz w:val="24"/>
          <w:szCs w:val="24"/>
          <w:lang w:val="ru-RU"/>
        </w:rPr>
      </w:pPr>
      <w:r w:rsidRPr="00C56DDD">
        <w:rPr>
          <w:rFonts w:ascii="Times New Roman" w:hAnsi="Times New Roman" w:cs="Times New Roman"/>
          <w:i/>
          <w:iCs/>
          <w:sz w:val="24"/>
          <w:szCs w:val="24"/>
          <w:lang w:val="ru-RU"/>
        </w:rPr>
        <w:t xml:space="preserve">Рисунок 1 - Динамика количества ПО в Реестре программного обеспечения в РФ, 2018-2023 </w:t>
      </w:r>
      <w:proofErr w:type="spellStart"/>
      <w:r w:rsidRPr="00C56DDD">
        <w:rPr>
          <w:rFonts w:ascii="Times New Roman" w:hAnsi="Times New Roman" w:cs="Times New Roman"/>
          <w:i/>
          <w:iCs/>
          <w:sz w:val="24"/>
          <w:szCs w:val="24"/>
          <w:lang w:val="ru-RU"/>
        </w:rPr>
        <w:t>гг</w:t>
      </w:r>
      <w:proofErr w:type="spellEnd"/>
    </w:p>
    <w:p w14:paraId="7046AEEB" w14:textId="22E1DAD7" w:rsidR="00B56154" w:rsidRPr="00B56154" w:rsidRDefault="00B56154" w:rsidP="00971076">
      <w:pPr>
        <w:spacing w:line="24" w:lineRule="atLeast"/>
        <w:ind w:firstLine="720"/>
        <w:jc w:val="both"/>
        <w:rPr>
          <w:rFonts w:ascii="Times New Roman" w:hAnsi="Times New Roman" w:cs="Times New Roman"/>
          <w:sz w:val="28"/>
          <w:szCs w:val="28"/>
          <w:lang w:val="ru-RU"/>
        </w:rPr>
      </w:pPr>
      <w:r w:rsidRPr="00B56154">
        <w:rPr>
          <w:rFonts w:ascii="Times New Roman" w:hAnsi="Times New Roman" w:cs="Times New Roman"/>
          <w:sz w:val="28"/>
          <w:szCs w:val="28"/>
          <w:lang w:val="ru-RU"/>
        </w:rPr>
        <w:t xml:space="preserve">Источник: российский реестр ПО </w:t>
      </w:r>
    </w:p>
    <w:p w14:paraId="62B1693A" w14:textId="44F11C68" w:rsidR="00285104" w:rsidRPr="00B56154" w:rsidRDefault="00C25673" w:rsidP="00971076">
      <w:pPr>
        <w:spacing w:line="24" w:lineRule="atLeast"/>
        <w:ind w:firstLine="720"/>
        <w:jc w:val="both"/>
        <w:rPr>
          <w:rFonts w:ascii="Times New Roman" w:hAnsi="Times New Roman" w:cs="Times New Roman"/>
          <w:sz w:val="28"/>
          <w:szCs w:val="28"/>
          <w:lang w:val="ru-RU"/>
        </w:rPr>
      </w:pPr>
      <w:r w:rsidRPr="00C25673">
        <w:rPr>
          <w:rFonts w:ascii="Times New Roman" w:hAnsi="Times New Roman" w:cs="Times New Roman"/>
          <w:sz w:val="28"/>
          <w:szCs w:val="28"/>
        </w:rPr>
        <w:t xml:space="preserve">Таким образом, по сравнению с 2018 годом в 2023 году зарегистрировано в 5,41 раз больше российского ПО (всего на 26 января 2024 года - 19 806 </w:t>
      </w:r>
      <w:proofErr w:type="spellStart"/>
      <w:r w:rsidRPr="00C25673">
        <w:rPr>
          <w:rFonts w:ascii="Times New Roman" w:hAnsi="Times New Roman" w:cs="Times New Roman"/>
          <w:sz w:val="28"/>
          <w:szCs w:val="28"/>
        </w:rPr>
        <w:t>шт</w:t>
      </w:r>
      <w:proofErr w:type="spellEnd"/>
      <w:r w:rsidRPr="00C25673">
        <w:rPr>
          <w:rFonts w:ascii="Times New Roman" w:hAnsi="Times New Roman" w:cs="Times New Roman"/>
          <w:sz w:val="28"/>
          <w:szCs w:val="28"/>
        </w:rPr>
        <w:t xml:space="preserve"> российского ПО зарегистрировано на 7 385 правообладателей, то есть в среднем каждый правообладатель зарегистрировал около двух ПО). Данная статистика доказывает рост рынка вендоров отечественного ПО, а также показывает актуальность таких разработок для российского рынка высокотехнологичных компаний. </w:t>
      </w:r>
      <w:r w:rsidR="00B56154">
        <w:rPr>
          <w:rFonts w:ascii="Times New Roman" w:hAnsi="Times New Roman" w:cs="Times New Roman"/>
          <w:sz w:val="28"/>
          <w:szCs w:val="28"/>
          <w:lang w:val="ru-RU"/>
        </w:rPr>
        <w:t>Пр</w:t>
      </w:r>
      <w:r w:rsidR="00B56154" w:rsidRPr="00B56154">
        <w:rPr>
          <w:rFonts w:ascii="Times New Roman" w:hAnsi="Times New Roman" w:cs="Times New Roman"/>
          <w:sz w:val="28"/>
          <w:szCs w:val="28"/>
          <w:lang w:val="ru-RU"/>
        </w:rPr>
        <w:t>и этом, в 2023 году участилось количество отказов в регистрации ПО: это может быть связано с тем, что в связи с ростом спроса и сложностью разработок ПО, качество ПО у некоторых организаций может быть на низком уровне</w:t>
      </w:r>
      <w:r w:rsidR="00C56DDD" w:rsidRPr="00C56DDD">
        <w:rPr>
          <w:rFonts w:ascii="Times New Roman" w:hAnsi="Times New Roman" w:cs="Times New Roman"/>
          <w:sz w:val="28"/>
          <w:szCs w:val="28"/>
          <w:lang w:val="ru-RU"/>
        </w:rPr>
        <w:t xml:space="preserve"> [3], [4]</w:t>
      </w:r>
      <w:r w:rsidR="00B56154" w:rsidRPr="00B56154">
        <w:rPr>
          <w:rFonts w:ascii="Times New Roman" w:hAnsi="Times New Roman" w:cs="Times New Roman"/>
          <w:sz w:val="28"/>
          <w:szCs w:val="28"/>
          <w:lang w:val="ru-RU"/>
        </w:rPr>
        <w:t xml:space="preserve">. </w:t>
      </w:r>
    </w:p>
    <w:p w14:paraId="4B1EB9A6" w14:textId="3B4D2F75" w:rsidR="00285104" w:rsidRPr="00C25673" w:rsidRDefault="00FF2B84" w:rsidP="00971076">
      <w:pPr>
        <w:spacing w:line="24" w:lineRule="atLeast"/>
        <w:ind w:firstLine="720"/>
        <w:jc w:val="both"/>
        <w:rPr>
          <w:rFonts w:ascii="Times New Roman" w:hAnsi="Times New Roman" w:cs="Times New Roman"/>
          <w:sz w:val="28"/>
          <w:szCs w:val="28"/>
        </w:rPr>
      </w:pPr>
      <w:r>
        <w:rPr>
          <w:rFonts w:ascii="Times New Roman" w:hAnsi="Times New Roman" w:cs="Times New Roman"/>
          <w:sz w:val="28"/>
          <w:szCs w:val="28"/>
        </w:rPr>
        <w:t>Ситуация, сложившаяся на</w:t>
      </w:r>
      <w:r w:rsidR="00C25673" w:rsidRPr="00C25673">
        <w:rPr>
          <w:rFonts w:ascii="Times New Roman" w:hAnsi="Times New Roman" w:cs="Times New Roman"/>
          <w:sz w:val="28"/>
          <w:szCs w:val="28"/>
        </w:rPr>
        <w:t xml:space="preserve"> рынке </w:t>
      </w:r>
      <w:r w:rsidR="00C56DDD" w:rsidRPr="00C25673">
        <w:rPr>
          <w:rFonts w:ascii="Times New Roman" w:hAnsi="Times New Roman" w:cs="Times New Roman"/>
          <w:sz w:val="28"/>
          <w:szCs w:val="28"/>
        </w:rPr>
        <w:t>от</w:t>
      </w:r>
      <w:r w:rsidR="00C56DDD" w:rsidRPr="00FF2B84">
        <w:rPr>
          <w:rFonts w:ascii="Times New Roman" w:hAnsi="Times New Roman" w:cs="Times New Roman"/>
          <w:sz w:val="28"/>
          <w:szCs w:val="28"/>
          <w:lang w:val="ru-RU"/>
        </w:rPr>
        <w:t>е</w:t>
      </w:r>
      <w:proofErr w:type="spellStart"/>
      <w:r w:rsidR="00C56DDD" w:rsidRPr="00C25673">
        <w:rPr>
          <w:rFonts w:ascii="Times New Roman" w:hAnsi="Times New Roman" w:cs="Times New Roman"/>
          <w:sz w:val="28"/>
          <w:szCs w:val="28"/>
        </w:rPr>
        <w:t>чественных</w:t>
      </w:r>
      <w:proofErr w:type="spellEnd"/>
      <w:r w:rsidR="00C56DDD" w:rsidRPr="00C56DDD">
        <w:rPr>
          <w:rFonts w:ascii="Times New Roman" w:hAnsi="Times New Roman" w:cs="Times New Roman"/>
          <w:sz w:val="28"/>
          <w:szCs w:val="28"/>
          <w:lang w:val="ru-RU"/>
        </w:rPr>
        <w:t xml:space="preserve"> </w:t>
      </w:r>
      <w:r w:rsidR="00C56DDD" w:rsidRPr="00C25673">
        <w:rPr>
          <w:rFonts w:ascii="Times New Roman" w:hAnsi="Times New Roman" w:cs="Times New Roman"/>
          <w:sz w:val="28"/>
          <w:szCs w:val="28"/>
        </w:rPr>
        <w:t>разработок программного обеспечения,</w:t>
      </w:r>
      <w:r w:rsidR="00C25673" w:rsidRPr="00C25673">
        <w:rPr>
          <w:rFonts w:ascii="Times New Roman" w:hAnsi="Times New Roman" w:cs="Times New Roman"/>
          <w:sz w:val="28"/>
          <w:szCs w:val="28"/>
        </w:rPr>
        <w:t xml:space="preserve"> является уникальной - резкий рост спроса на отечественные продукты вызван, скорее, политическими факторами, чем потребностью </w:t>
      </w:r>
      <w:r w:rsidR="00B56154" w:rsidRPr="00C25673">
        <w:rPr>
          <w:rFonts w:ascii="Times New Roman" w:hAnsi="Times New Roman" w:cs="Times New Roman"/>
          <w:sz w:val="28"/>
          <w:szCs w:val="28"/>
        </w:rPr>
        <w:t>производителей</w:t>
      </w:r>
      <w:r w:rsidR="00C25673" w:rsidRPr="00C25673">
        <w:rPr>
          <w:rFonts w:ascii="Times New Roman" w:hAnsi="Times New Roman" w:cs="Times New Roman"/>
          <w:sz w:val="28"/>
          <w:szCs w:val="28"/>
        </w:rPr>
        <w:t xml:space="preserve"> в уникальных свойствах российских разработок, в связи с этим существуют некоторые вызовы рынка. </w:t>
      </w:r>
    </w:p>
    <w:p w14:paraId="74C4FE80" w14:textId="28598B65" w:rsidR="00285104" w:rsidRPr="00C25673" w:rsidRDefault="00C25673" w:rsidP="00971076">
      <w:pPr>
        <w:spacing w:line="24" w:lineRule="atLeast"/>
        <w:ind w:firstLine="720"/>
        <w:jc w:val="both"/>
        <w:rPr>
          <w:rFonts w:ascii="Times New Roman" w:hAnsi="Times New Roman" w:cs="Times New Roman"/>
          <w:sz w:val="28"/>
          <w:szCs w:val="28"/>
        </w:rPr>
      </w:pPr>
      <w:r w:rsidRPr="00C25673">
        <w:rPr>
          <w:rFonts w:ascii="Times New Roman" w:hAnsi="Times New Roman" w:cs="Times New Roman"/>
          <w:sz w:val="28"/>
          <w:szCs w:val="28"/>
        </w:rPr>
        <w:t xml:space="preserve">В данной статье термин </w:t>
      </w:r>
      <w:r w:rsidR="00C56DDD">
        <w:rPr>
          <w:rFonts w:ascii="Times New Roman" w:hAnsi="Times New Roman" w:cs="Times New Roman"/>
          <w:sz w:val="28"/>
          <w:szCs w:val="28"/>
          <w:lang w:val="ru-RU"/>
        </w:rPr>
        <w:t>«</w:t>
      </w:r>
      <w:r w:rsidRPr="00C25673">
        <w:rPr>
          <w:rFonts w:ascii="Times New Roman" w:hAnsi="Times New Roman" w:cs="Times New Roman"/>
          <w:sz w:val="28"/>
          <w:szCs w:val="28"/>
        </w:rPr>
        <w:t>вызов</w:t>
      </w:r>
      <w:r w:rsidR="00C56DDD">
        <w:rPr>
          <w:rFonts w:ascii="Times New Roman" w:hAnsi="Times New Roman" w:cs="Times New Roman"/>
          <w:sz w:val="28"/>
          <w:szCs w:val="28"/>
          <w:lang w:val="ru-RU"/>
        </w:rPr>
        <w:t>»</w:t>
      </w:r>
      <w:r w:rsidRPr="00C25673">
        <w:rPr>
          <w:rFonts w:ascii="Times New Roman" w:hAnsi="Times New Roman" w:cs="Times New Roman"/>
          <w:sz w:val="28"/>
          <w:szCs w:val="28"/>
        </w:rPr>
        <w:t xml:space="preserve"> будет пониматься как </w:t>
      </w:r>
      <w:r w:rsidR="00C56DDD">
        <w:rPr>
          <w:rFonts w:ascii="Times New Roman" w:hAnsi="Times New Roman" w:cs="Times New Roman"/>
          <w:sz w:val="28"/>
          <w:szCs w:val="28"/>
          <w:lang w:val="ru-RU"/>
        </w:rPr>
        <w:t>«</w:t>
      </w:r>
      <w:r w:rsidRPr="00C25673">
        <w:rPr>
          <w:rFonts w:ascii="Times New Roman" w:hAnsi="Times New Roman" w:cs="Times New Roman"/>
          <w:sz w:val="28"/>
          <w:szCs w:val="28"/>
        </w:rPr>
        <w:t>совокупность факторов, способных при определенных условиях привести к возникновению угрозы экономического развития</w:t>
      </w:r>
      <w:r w:rsidR="00C56DDD">
        <w:rPr>
          <w:rFonts w:ascii="Times New Roman" w:hAnsi="Times New Roman" w:cs="Times New Roman"/>
          <w:sz w:val="28"/>
          <w:szCs w:val="28"/>
          <w:lang w:val="ru-RU"/>
        </w:rPr>
        <w:t>»</w:t>
      </w:r>
      <w:r w:rsidRPr="00C25673">
        <w:rPr>
          <w:rFonts w:ascii="Times New Roman" w:hAnsi="Times New Roman" w:cs="Times New Roman"/>
          <w:sz w:val="28"/>
          <w:szCs w:val="28"/>
        </w:rPr>
        <w:t xml:space="preserve">. </w:t>
      </w:r>
    </w:p>
    <w:p w14:paraId="4464759A" w14:textId="77777777" w:rsidR="00285104" w:rsidRPr="00C25673" w:rsidRDefault="00C25673" w:rsidP="00971076">
      <w:pPr>
        <w:spacing w:line="24" w:lineRule="atLeast"/>
        <w:ind w:firstLine="720"/>
        <w:jc w:val="both"/>
        <w:rPr>
          <w:rFonts w:ascii="Times New Roman" w:hAnsi="Times New Roman" w:cs="Times New Roman"/>
          <w:sz w:val="28"/>
          <w:szCs w:val="28"/>
        </w:rPr>
      </w:pPr>
      <w:r w:rsidRPr="00C25673">
        <w:rPr>
          <w:rFonts w:ascii="Times New Roman" w:hAnsi="Times New Roman" w:cs="Times New Roman"/>
          <w:sz w:val="28"/>
          <w:szCs w:val="28"/>
        </w:rPr>
        <w:t xml:space="preserve">Выявим основные вызовы развития вендоров отечественного ПО: </w:t>
      </w:r>
    </w:p>
    <w:p w14:paraId="5D006D96" w14:textId="59079AC2" w:rsidR="00285104" w:rsidRPr="00C25673" w:rsidRDefault="00C25673" w:rsidP="001A2E03">
      <w:pPr>
        <w:numPr>
          <w:ilvl w:val="0"/>
          <w:numId w:val="4"/>
        </w:numPr>
        <w:spacing w:line="24" w:lineRule="atLeast"/>
        <w:ind w:left="0" w:firstLine="709"/>
        <w:jc w:val="both"/>
        <w:rPr>
          <w:rFonts w:ascii="Times New Roman" w:hAnsi="Times New Roman" w:cs="Times New Roman"/>
          <w:sz w:val="28"/>
          <w:szCs w:val="28"/>
        </w:rPr>
      </w:pPr>
      <w:r w:rsidRPr="00C25673">
        <w:rPr>
          <w:rFonts w:ascii="Times New Roman" w:hAnsi="Times New Roman" w:cs="Times New Roman"/>
          <w:sz w:val="28"/>
          <w:szCs w:val="28"/>
        </w:rPr>
        <w:t xml:space="preserve">стремление соответствовать потребностям высокотехнологичных компаний (продукты, которые </w:t>
      </w:r>
      <w:proofErr w:type="spellStart"/>
      <w:r w:rsidRPr="00C25673">
        <w:rPr>
          <w:rFonts w:ascii="Times New Roman" w:hAnsi="Times New Roman" w:cs="Times New Roman"/>
          <w:sz w:val="28"/>
          <w:szCs w:val="28"/>
        </w:rPr>
        <w:t>импортозамещают</w:t>
      </w:r>
      <w:proofErr w:type="spellEnd"/>
      <w:r w:rsidRPr="00C25673">
        <w:rPr>
          <w:rFonts w:ascii="Times New Roman" w:hAnsi="Times New Roman" w:cs="Times New Roman"/>
          <w:sz w:val="28"/>
          <w:szCs w:val="28"/>
        </w:rPr>
        <w:t xml:space="preserve"> в организациях, не утратили свою актуальность,</w:t>
      </w:r>
      <w:r w:rsidR="001A2E03" w:rsidRPr="001A2E03">
        <w:rPr>
          <w:rFonts w:ascii="Times New Roman" w:hAnsi="Times New Roman" w:cs="Times New Roman"/>
          <w:sz w:val="28"/>
          <w:szCs w:val="28"/>
          <w:lang w:val="ru-RU"/>
        </w:rPr>
        <w:t xml:space="preserve"> </w:t>
      </w:r>
      <w:r w:rsidRPr="00C25673">
        <w:rPr>
          <w:rFonts w:ascii="Times New Roman" w:hAnsi="Times New Roman" w:cs="Times New Roman"/>
          <w:sz w:val="28"/>
          <w:szCs w:val="28"/>
        </w:rPr>
        <w:t xml:space="preserve">в первую очередь ведется поиск аналогов ранее используемого ПО. Следовательно, российские </w:t>
      </w:r>
      <w:r w:rsidRPr="00C25673">
        <w:rPr>
          <w:rFonts w:ascii="Times New Roman" w:hAnsi="Times New Roman" w:cs="Times New Roman"/>
          <w:sz w:val="28"/>
          <w:szCs w:val="28"/>
        </w:rPr>
        <w:lastRenderedPageBreak/>
        <w:t>вендоры ПО стремятся минимум повторит функционал уже существующих зарубежных ПО);</w:t>
      </w:r>
    </w:p>
    <w:p w14:paraId="7478E8C2" w14:textId="77F9A92A" w:rsidR="00285104" w:rsidRPr="00C25673" w:rsidRDefault="00955080" w:rsidP="001A2E03">
      <w:pPr>
        <w:numPr>
          <w:ilvl w:val="0"/>
          <w:numId w:val="4"/>
        </w:numPr>
        <w:spacing w:line="24" w:lineRule="atLeast"/>
        <w:ind w:left="0" w:firstLine="709"/>
        <w:jc w:val="both"/>
        <w:rPr>
          <w:rFonts w:ascii="Times New Roman" w:hAnsi="Times New Roman" w:cs="Times New Roman"/>
          <w:sz w:val="28"/>
          <w:szCs w:val="28"/>
        </w:rPr>
      </w:pPr>
      <w:r>
        <w:rPr>
          <w:rFonts w:ascii="Times New Roman" w:hAnsi="Times New Roman" w:cs="Times New Roman"/>
          <w:sz w:val="28"/>
          <w:szCs w:val="28"/>
          <w:lang w:val="ru-RU"/>
        </w:rPr>
        <w:t>к</w:t>
      </w:r>
      <w:proofErr w:type="spellStart"/>
      <w:r w:rsidR="00C25673" w:rsidRPr="00C25673">
        <w:rPr>
          <w:rFonts w:ascii="Times New Roman" w:hAnsi="Times New Roman" w:cs="Times New Roman"/>
          <w:sz w:val="28"/>
          <w:szCs w:val="28"/>
        </w:rPr>
        <w:t>райне</w:t>
      </w:r>
      <w:proofErr w:type="spellEnd"/>
      <w:r w:rsidR="00C25673" w:rsidRPr="00C25673">
        <w:rPr>
          <w:rFonts w:ascii="Times New Roman" w:hAnsi="Times New Roman" w:cs="Times New Roman"/>
          <w:sz w:val="28"/>
          <w:szCs w:val="28"/>
        </w:rPr>
        <w:t xml:space="preserve"> сжатые сроки для актуализации и доработки ПО (российские вендоры вынуждены в сжатые сроки разрабатывать зарубежные аналоги или актуализировать собственные ПО, чтобы быть востребованными для высокотехнологичных компаний)</w:t>
      </w:r>
      <w:r>
        <w:rPr>
          <w:rFonts w:ascii="Times New Roman" w:hAnsi="Times New Roman" w:cs="Times New Roman"/>
          <w:sz w:val="28"/>
          <w:szCs w:val="28"/>
          <w:lang w:val="ru-RU"/>
        </w:rPr>
        <w:t>;</w:t>
      </w:r>
    </w:p>
    <w:p w14:paraId="5D864F70" w14:textId="77777777" w:rsidR="00285104" w:rsidRPr="00C25673" w:rsidRDefault="00C25673" w:rsidP="001A2E03">
      <w:pPr>
        <w:numPr>
          <w:ilvl w:val="0"/>
          <w:numId w:val="4"/>
        </w:numPr>
        <w:spacing w:line="24" w:lineRule="atLeast"/>
        <w:ind w:left="0" w:firstLine="709"/>
        <w:jc w:val="both"/>
        <w:rPr>
          <w:rFonts w:ascii="Times New Roman" w:hAnsi="Times New Roman" w:cs="Times New Roman"/>
          <w:sz w:val="28"/>
          <w:szCs w:val="28"/>
        </w:rPr>
      </w:pPr>
      <w:r w:rsidRPr="00C25673">
        <w:rPr>
          <w:rFonts w:ascii="Times New Roman" w:hAnsi="Times New Roman" w:cs="Times New Roman"/>
          <w:sz w:val="28"/>
          <w:szCs w:val="28"/>
        </w:rPr>
        <w:t xml:space="preserve">Рост конкуренции на рынке отечественных вендоров (появляются малые организации, стартапы, которые предлагают новые решения </w:t>
      </w:r>
      <w:proofErr w:type="spellStart"/>
      <w:r w:rsidRPr="00C25673">
        <w:rPr>
          <w:rFonts w:ascii="Times New Roman" w:hAnsi="Times New Roman" w:cs="Times New Roman"/>
          <w:sz w:val="28"/>
          <w:szCs w:val="28"/>
        </w:rPr>
        <w:t>ны</w:t>
      </w:r>
      <w:proofErr w:type="spellEnd"/>
      <w:r w:rsidRPr="00C25673">
        <w:rPr>
          <w:rFonts w:ascii="Times New Roman" w:hAnsi="Times New Roman" w:cs="Times New Roman"/>
          <w:sz w:val="28"/>
          <w:szCs w:val="28"/>
        </w:rPr>
        <w:t xml:space="preserve"> рынке российского ПО, также наблюдается рост цен на лицензирование от ведущих разработчиков российского софта);</w:t>
      </w:r>
    </w:p>
    <w:p w14:paraId="04A26A5C" w14:textId="3FDBB3E8" w:rsidR="00285104" w:rsidRPr="00C25673" w:rsidRDefault="00C25673" w:rsidP="001A2E03">
      <w:pPr>
        <w:numPr>
          <w:ilvl w:val="0"/>
          <w:numId w:val="4"/>
        </w:numPr>
        <w:spacing w:line="24" w:lineRule="atLeast"/>
        <w:ind w:left="0" w:firstLine="709"/>
        <w:jc w:val="both"/>
        <w:rPr>
          <w:rFonts w:ascii="Times New Roman" w:hAnsi="Times New Roman" w:cs="Times New Roman"/>
          <w:sz w:val="28"/>
          <w:szCs w:val="28"/>
        </w:rPr>
      </w:pPr>
      <w:r w:rsidRPr="00C25673">
        <w:rPr>
          <w:rFonts w:ascii="Times New Roman" w:hAnsi="Times New Roman" w:cs="Times New Roman"/>
          <w:sz w:val="28"/>
          <w:szCs w:val="28"/>
        </w:rPr>
        <w:t>вынужденная доработка исправно работающего ПО при появлении нового требования - запуск отечественного ПО на системе Astra Linux (ранее большинство ПО были апробированы под систему Windows, сейчас же более 90% высокотехнологичных организаций требуют запуск ПО на системе Astra Linux, что является дополнительными тратами для вендоров, а также увеличение сроков)</w:t>
      </w:r>
      <w:r w:rsidR="00955080">
        <w:rPr>
          <w:rFonts w:ascii="Times New Roman" w:hAnsi="Times New Roman" w:cs="Times New Roman"/>
          <w:sz w:val="28"/>
          <w:szCs w:val="28"/>
          <w:lang w:val="ru-RU"/>
        </w:rPr>
        <w:t>;</w:t>
      </w:r>
    </w:p>
    <w:p w14:paraId="65D709C3" w14:textId="7300C8CA" w:rsidR="00285104" w:rsidRPr="00C25673" w:rsidRDefault="00C25673" w:rsidP="001A2E03">
      <w:pPr>
        <w:numPr>
          <w:ilvl w:val="0"/>
          <w:numId w:val="4"/>
        </w:numPr>
        <w:spacing w:line="24" w:lineRule="atLeast"/>
        <w:ind w:left="0" w:firstLine="709"/>
        <w:jc w:val="both"/>
        <w:rPr>
          <w:rFonts w:ascii="Times New Roman" w:hAnsi="Times New Roman" w:cs="Times New Roman"/>
          <w:sz w:val="28"/>
          <w:szCs w:val="28"/>
        </w:rPr>
      </w:pPr>
      <w:r w:rsidRPr="00C25673">
        <w:rPr>
          <w:rFonts w:ascii="Times New Roman" w:hAnsi="Times New Roman" w:cs="Times New Roman"/>
          <w:sz w:val="28"/>
          <w:szCs w:val="28"/>
        </w:rPr>
        <w:t xml:space="preserve">стремление вендоров отечественного ПО присвоить статус разрабатываемому программному обеспечению </w:t>
      </w:r>
      <w:r w:rsidR="00C56DDD">
        <w:rPr>
          <w:rFonts w:ascii="Times New Roman" w:hAnsi="Times New Roman" w:cs="Times New Roman"/>
          <w:sz w:val="28"/>
          <w:szCs w:val="28"/>
          <w:lang w:val="ru-RU"/>
        </w:rPr>
        <w:t>«</w:t>
      </w:r>
      <w:r w:rsidRPr="00C25673">
        <w:rPr>
          <w:rFonts w:ascii="Times New Roman" w:hAnsi="Times New Roman" w:cs="Times New Roman"/>
          <w:sz w:val="28"/>
          <w:szCs w:val="28"/>
        </w:rPr>
        <w:t>ИИ</w:t>
      </w:r>
      <w:r w:rsidR="00C56DDD">
        <w:rPr>
          <w:rFonts w:ascii="Times New Roman" w:hAnsi="Times New Roman" w:cs="Times New Roman"/>
          <w:sz w:val="28"/>
          <w:szCs w:val="28"/>
          <w:lang w:val="ru-RU"/>
        </w:rPr>
        <w:t>»</w:t>
      </w:r>
      <w:r w:rsidRPr="00C25673">
        <w:rPr>
          <w:rFonts w:ascii="Times New Roman" w:hAnsi="Times New Roman" w:cs="Times New Roman"/>
          <w:sz w:val="28"/>
          <w:szCs w:val="28"/>
        </w:rPr>
        <w:t xml:space="preserve">, так как это дает ряд преимуществ (подтверждение разработки высокотехнологичного продукта, расширение функционала программы и </w:t>
      </w:r>
      <w:proofErr w:type="spellStart"/>
      <w:r w:rsidRPr="00C25673">
        <w:rPr>
          <w:rFonts w:ascii="Times New Roman" w:hAnsi="Times New Roman" w:cs="Times New Roman"/>
          <w:sz w:val="28"/>
          <w:szCs w:val="28"/>
        </w:rPr>
        <w:t>тд</w:t>
      </w:r>
      <w:proofErr w:type="spellEnd"/>
      <w:r w:rsidRPr="00C25673">
        <w:rPr>
          <w:rFonts w:ascii="Times New Roman" w:hAnsi="Times New Roman" w:cs="Times New Roman"/>
          <w:sz w:val="28"/>
          <w:szCs w:val="28"/>
        </w:rPr>
        <w:t>);</w:t>
      </w:r>
    </w:p>
    <w:p w14:paraId="059E5C7A" w14:textId="103E82F3" w:rsidR="00285104" w:rsidRPr="00C25673" w:rsidRDefault="00C25673" w:rsidP="001A2E03">
      <w:pPr>
        <w:numPr>
          <w:ilvl w:val="0"/>
          <w:numId w:val="4"/>
        </w:numPr>
        <w:spacing w:line="24" w:lineRule="atLeast"/>
        <w:ind w:left="0" w:firstLine="709"/>
        <w:jc w:val="both"/>
        <w:rPr>
          <w:rFonts w:ascii="Times New Roman" w:hAnsi="Times New Roman" w:cs="Times New Roman"/>
          <w:sz w:val="28"/>
          <w:szCs w:val="28"/>
        </w:rPr>
      </w:pPr>
      <w:r w:rsidRPr="00C25673">
        <w:rPr>
          <w:rFonts w:ascii="Times New Roman" w:hAnsi="Times New Roman" w:cs="Times New Roman"/>
          <w:sz w:val="28"/>
          <w:szCs w:val="28"/>
        </w:rPr>
        <w:t>вендоры, имеющие значительную клиентскую базу за рубежом, отказываются разрабатывать ПО под требования российских пользователей, так как это не является экономически выгодным для их развития</w:t>
      </w:r>
      <w:r w:rsidR="00C56DDD">
        <w:rPr>
          <w:rFonts w:ascii="Times New Roman" w:hAnsi="Times New Roman" w:cs="Times New Roman"/>
          <w:sz w:val="28"/>
          <w:szCs w:val="28"/>
          <w:lang w:val="ru-RU"/>
        </w:rPr>
        <w:t xml:space="preserve"> </w:t>
      </w:r>
      <w:r w:rsidR="00C56DDD" w:rsidRPr="00C56DDD">
        <w:rPr>
          <w:rFonts w:ascii="Times New Roman" w:hAnsi="Times New Roman" w:cs="Times New Roman"/>
          <w:sz w:val="28"/>
          <w:szCs w:val="28"/>
          <w:lang w:val="ru-RU"/>
        </w:rPr>
        <w:t>[6]</w:t>
      </w:r>
      <w:r w:rsidRPr="00C25673">
        <w:rPr>
          <w:rFonts w:ascii="Times New Roman" w:hAnsi="Times New Roman" w:cs="Times New Roman"/>
          <w:sz w:val="28"/>
          <w:szCs w:val="28"/>
        </w:rPr>
        <w:t xml:space="preserve">. </w:t>
      </w:r>
    </w:p>
    <w:p w14:paraId="274E779C" w14:textId="77777777" w:rsidR="00285104" w:rsidRPr="00C25673" w:rsidRDefault="00C25673" w:rsidP="00971076">
      <w:pPr>
        <w:shd w:val="clear" w:color="auto" w:fill="FFFFFF"/>
        <w:spacing w:line="24" w:lineRule="atLeast"/>
        <w:jc w:val="both"/>
        <w:rPr>
          <w:rFonts w:ascii="Times New Roman" w:hAnsi="Times New Roman" w:cs="Times New Roman"/>
          <w:sz w:val="28"/>
          <w:szCs w:val="28"/>
        </w:rPr>
      </w:pPr>
      <w:r w:rsidRPr="00C25673">
        <w:rPr>
          <w:rFonts w:ascii="Times New Roman" w:hAnsi="Times New Roman" w:cs="Times New Roman"/>
          <w:sz w:val="28"/>
          <w:szCs w:val="28"/>
        </w:rPr>
        <w:tab/>
        <w:t xml:space="preserve">Таким образом, вызовы экономического развития отечественных вендоров связаны, в первую очередь, с растущим количеством потребителей российских разработок, а с другой стороны, некоторую неготовность отечественных вендоров соответствовать технологическим требованиям компаний.  </w:t>
      </w:r>
    </w:p>
    <w:p w14:paraId="084F537F" w14:textId="77777777" w:rsidR="00285104" w:rsidRPr="00C25673" w:rsidRDefault="00C25673" w:rsidP="00971076">
      <w:pPr>
        <w:spacing w:line="24" w:lineRule="atLeast"/>
        <w:ind w:firstLine="720"/>
        <w:jc w:val="both"/>
        <w:rPr>
          <w:rFonts w:ascii="Times New Roman" w:hAnsi="Times New Roman" w:cs="Times New Roman"/>
          <w:sz w:val="28"/>
          <w:szCs w:val="28"/>
        </w:rPr>
      </w:pPr>
      <w:r w:rsidRPr="00C25673">
        <w:rPr>
          <w:rFonts w:ascii="Times New Roman" w:hAnsi="Times New Roman" w:cs="Times New Roman"/>
          <w:sz w:val="28"/>
          <w:szCs w:val="28"/>
        </w:rPr>
        <w:t xml:space="preserve">Рассмотрим основных вендоров отечественного ПО, а именно САПР (систем автоматизированного проектирования) и их стратегию развития. </w:t>
      </w:r>
    </w:p>
    <w:p w14:paraId="6642EEF9" w14:textId="77777777" w:rsidR="00285104" w:rsidRPr="00C25673" w:rsidRDefault="00C25673" w:rsidP="00971076">
      <w:pPr>
        <w:shd w:val="clear" w:color="auto" w:fill="FFFFFF"/>
        <w:spacing w:line="24" w:lineRule="atLeast"/>
        <w:jc w:val="both"/>
        <w:rPr>
          <w:rFonts w:ascii="Times New Roman" w:hAnsi="Times New Roman" w:cs="Times New Roman"/>
          <w:sz w:val="28"/>
          <w:szCs w:val="28"/>
        </w:rPr>
      </w:pPr>
      <w:r w:rsidRPr="00C25673">
        <w:rPr>
          <w:rFonts w:ascii="Times New Roman" w:hAnsi="Times New Roman" w:cs="Times New Roman"/>
          <w:sz w:val="28"/>
          <w:szCs w:val="28"/>
        </w:rPr>
        <w:t>Таблица 1 - стратегия развития основных вендоров отечественного ПО (САПР)</w:t>
      </w:r>
    </w:p>
    <w:tbl>
      <w:tblPr>
        <w:tblStyle w:val="1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55"/>
        <w:gridCol w:w="6825"/>
      </w:tblGrid>
      <w:tr w:rsidR="00285104" w:rsidRPr="00C25673" w14:paraId="5A1D021F" w14:textId="77777777">
        <w:trPr>
          <w:trHeight w:val="525"/>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3A055" w14:textId="4BEEC7F4" w:rsidR="001A2E03" w:rsidRPr="001A2E03" w:rsidRDefault="00C25673" w:rsidP="001A2E03">
            <w:pPr>
              <w:spacing w:line="24" w:lineRule="atLeast"/>
              <w:jc w:val="both"/>
              <w:rPr>
                <w:rFonts w:ascii="Times New Roman" w:hAnsi="Times New Roman" w:cs="Times New Roman"/>
                <w:sz w:val="28"/>
                <w:szCs w:val="28"/>
              </w:rPr>
            </w:pPr>
            <w:r w:rsidRPr="00C25673">
              <w:rPr>
                <w:rFonts w:ascii="Times New Roman" w:hAnsi="Times New Roman" w:cs="Times New Roman"/>
                <w:sz w:val="28"/>
                <w:szCs w:val="28"/>
              </w:rPr>
              <w:t xml:space="preserve">Вендор </w:t>
            </w:r>
          </w:p>
          <w:p w14:paraId="30D6BD5F" w14:textId="2E6AA76F" w:rsidR="001A2E03" w:rsidRPr="001A2E03" w:rsidRDefault="001A2E03" w:rsidP="001A2E03">
            <w:pPr>
              <w:rPr>
                <w:rFonts w:ascii="Times New Roman" w:hAnsi="Times New Roman" w:cs="Times New Roman"/>
                <w:sz w:val="28"/>
                <w:szCs w:val="28"/>
              </w:rPr>
            </w:pPr>
          </w:p>
        </w:tc>
        <w:tc>
          <w:tcPr>
            <w:tcW w:w="6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BA31B" w14:textId="77777777" w:rsidR="00285104" w:rsidRPr="00C25673" w:rsidRDefault="00C25673" w:rsidP="00971076">
            <w:pPr>
              <w:spacing w:line="24" w:lineRule="atLeast"/>
              <w:jc w:val="both"/>
              <w:rPr>
                <w:rFonts w:ascii="Times New Roman" w:hAnsi="Times New Roman" w:cs="Times New Roman"/>
                <w:sz w:val="28"/>
                <w:szCs w:val="28"/>
              </w:rPr>
            </w:pPr>
            <w:r w:rsidRPr="00C25673">
              <w:rPr>
                <w:rFonts w:ascii="Times New Roman" w:hAnsi="Times New Roman" w:cs="Times New Roman"/>
                <w:sz w:val="28"/>
                <w:szCs w:val="28"/>
              </w:rPr>
              <w:t xml:space="preserve">Стратегия развития 2023-2024 </w:t>
            </w:r>
            <w:proofErr w:type="spellStart"/>
            <w:r w:rsidRPr="00C25673">
              <w:rPr>
                <w:rFonts w:ascii="Times New Roman" w:hAnsi="Times New Roman" w:cs="Times New Roman"/>
                <w:sz w:val="28"/>
                <w:szCs w:val="28"/>
              </w:rPr>
              <w:t>гг</w:t>
            </w:r>
            <w:proofErr w:type="spellEnd"/>
            <w:r w:rsidRPr="00C25673">
              <w:rPr>
                <w:rFonts w:ascii="Times New Roman" w:hAnsi="Times New Roman" w:cs="Times New Roman"/>
                <w:sz w:val="28"/>
                <w:szCs w:val="28"/>
              </w:rPr>
              <w:t xml:space="preserve"> </w:t>
            </w:r>
          </w:p>
        </w:tc>
      </w:tr>
      <w:tr w:rsidR="001A2E03" w:rsidRPr="00C25673" w14:paraId="35F85B50" w14:textId="77777777">
        <w:trPr>
          <w:trHeight w:val="525"/>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6F680" w14:textId="0EE33CAC" w:rsidR="001A2E03" w:rsidRPr="00C25673" w:rsidRDefault="001A2E03" w:rsidP="001A2E03">
            <w:pPr>
              <w:spacing w:line="24" w:lineRule="atLeast"/>
              <w:jc w:val="both"/>
              <w:rPr>
                <w:rFonts w:ascii="Times New Roman" w:hAnsi="Times New Roman" w:cs="Times New Roman"/>
                <w:sz w:val="28"/>
                <w:szCs w:val="28"/>
              </w:rPr>
            </w:pPr>
            <w:r w:rsidRPr="00C25673">
              <w:rPr>
                <w:rFonts w:ascii="Times New Roman" w:hAnsi="Times New Roman" w:cs="Times New Roman"/>
                <w:sz w:val="28"/>
                <w:szCs w:val="28"/>
              </w:rPr>
              <w:t>“</w:t>
            </w:r>
            <w:proofErr w:type="spellStart"/>
            <w:r w:rsidRPr="00C25673">
              <w:rPr>
                <w:rFonts w:ascii="Times New Roman" w:hAnsi="Times New Roman" w:cs="Times New Roman"/>
                <w:sz w:val="28"/>
                <w:szCs w:val="28"/>
              </w:rPr>
              <w:t>Нанософт</w:t>
            </w:r>
            <w:proofErr w:type="spellEnd"/>
            <w:r w:rsidRPr="00C25673">
              <w:rPr>
                <w:rFonts w:ascii="Times New Roman" w:hAnsi="Times New Roman" w:cs="Times New Roman"/>
                <w:sz w:val="28"/>
                <w:szCs w:val="28"/>
              </w:rPr>
              <w:t xml:space="preserve"> Разработка” </w:t>
            </w:r>
          </w:p>
        </w:tc>
        <w:tc>
          <w:tcPr>
            <w:tcW w:w="6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B4656" w14:textId="77777777" w:rsidR="001A2E03" w:rsidRPr="00C25673" w:rsidRDefault="001A2E03" w:rsidP="001A2E03">
            <w:pPr>
              <w:widowControl w:val="0"/>
              <w:pBdr>
                <w:top w:val="nil"/>
                <w:left w:val="nil"/>
                <w:bottom w:val="nil"/>
                <w:right w:val="nil"/>
                <w:between w:val="nil"/>
              </w:pBdr>
              <w:spacing w:line="24" w:lineRule="atLeast"/>
              <w:jc w:val="both"/>
              <w:rPr>
                <w:rFonts w:ascii="Times New Roman" w:hAnsi="Times New Roman" w:cs="Times New Roman"/>
                <w:sz w:val="28"/>
                <w:szCs w:val="28"/>
              </w:rPr>
            </w:pPr>
            <w:proofErr w:type="spellStart"/>
            <w:r w:rsidRPr="00C25673">
              <w:rPr>
                <w:rFonts w:ascii="Times New Roman" w:hAnsi="Times New Roman" w:cs="Times New Roman"/>
                <w:sz w:val="28"/>
                <w:szCs w:val="28"/>
              </w:rPr>
              <w:t>Нанософт</w:t>
            </w:r>
            <w:proofErr w:type="spellEnd"/>
            <w:r w:rsidRPr="00C25673">
              <w:rPr>
                <w:rFonts w:ascii="Times New Roman" w:hAnsi="Times New Roman" w:cs="Times New Roman"/>
                <w:sz w:val="28"/>
                <w:szCs w:val="28"/>
              </w:rPr>
              <w:t xml:space="preserve"> разрабатывает продукты </w:t>
            </w:r>
            <w:proofErr w:type="spellStart"/>
            <w:r w:rsidRPr="00C25673">
              <w:rPr>
                <w:rFonts w:ascii="Times New Roman" w:hAnsi="Times New Roman" w:cs="Times New Roman"/>
                <w:sz w:val="28"/>
                <w:szCs w:val="28"/>
              </w:rPr>
              <w:t>NanoCad</w:t>
            </w:r>
            <w:proofErr w:type="spellEnd"/>
            <w:r w:rsidRPr="00C25673">
              <w:rPr>
                <w:rFonts w:ascii="Times New Roman" w:hAnsi="Times New Roman" w:cs="Times New Roman"/>
                <w:sz w:val="28"/>
                <w:szCs w:val="28"/>
              </w:rPr>
              <w:t>: в области САПР, технологиях информационного моделирования и документооборота, все продукты компании включены в реестр российского ПО.</w:t>
            </w:r>
          </w:p>
          <w:p w14:paraId="6FEB6E6E" w14:textId="65E61F64" w:rsidR="001A2E03" w:rsidRPr="00C25673" w:rsidRDefault="001A2E03" w:rsidP="001A2E03">
            <w:pPr>
              <w:spacing w:line="24" w:lineRule="atLeast"/>
              <w:jc w:val="both"/>
              <w:rPr>
                <w:rFonts w:ascii="Times New Roman" w:hAnsi="Times New Roman" w:cs="Times New Roman"/>
                <w:sz w:val="28"/>
                <w:szCs w:val="28"/>
              </w:rPr>
            </w:pPr>
            <w:r w:rsidRPr="00C25673">
              <w:rPr>
                <w:rFonts w:ascii="Times New Roman" w:hAnsi="Times New Roman" w:cs="Times New Roman"/>
                <w:sz w:val="28"/>
                <w:szCs w:val="28"/>
              </w:rPr>
              <w:t xml:space="preserve">24 января 2024 года компания представила Платформу 2024 г </w:t>
            </w:r>
            <w:proofErr w:type="spellStart"/>
            <w:r w:rsidRPr="00C25673">
              <w:rPr>
                <w:rFonts w:ascii="Times New Roman" w:hAnsi="Times New Roman" w:cs="Times New Roman"/>
                <w:sz w:val="28"/>
                <w:szCs w:val="28"/>
              </w:rPr>
              <w:t>nanoCad</w:t>
            </w:r>
            <w:proofErr w:type="spellEnd"/>
            <w:r w:rsidRPr="00C25673">
              <w:rPr>
                <w:rFonts w:ascii="Times New Roman" w:hAnsi="Times New Roman" w:cs="Times New Roman"/>
                <w:sz w:val="28"/>
                <w:szCs w:val="28"/>
              </w:rPr>
              <w:t xml:space="preserve">, в которой выявила основные тенденции </w:t>
            </w:r>
            <w:r w:rsidRPr="00C25673">
              <w:rPr>
                <w:rFonts w:ascii="Times New Roman" w:hAnsi="Times New Roman" w:cs="Times New Roman"/>
                <w:sz w:val="28"/>
                <w:szCs w:val="28"/>
              </w:rPr>
              <w:lastRenderedPageBreak/>
              <w:t xml:space="preserve">развития российских САПР: увеличение функционала программы, обеспечение полной техподдержки и увеличение доступа пользователей к базе данных. Необходимо отметить, что  продукт </w:t>
            </w:r>
            <w:proofErr w:type="spellStart"/>
            <w:r w:rsidRPr="00C25673">
              <w:rPr>
                <w:rFonts w:ascii="Times New Roman" w:hAnsi="Times New Roman" w:cs="Times New Roman"/>
                <w:sz w:val="28"/>
                <w:szCs w:val="28"/>
              </w:rPr>
              <w:t>nanoCad</w:t>
            </w:r>
            <w:proofErr w:type="spellEnd"/>
            <w:r w:rsidRPr="00C25673">
              <w:rPr>
                <w:rFonts w:ascii="Times New Roman" w:hAnsi="Times New Roman" w:cs="Times New Roman"/>
                <w:sz w:val="28"/>
                <w:szCs w:val="28"/>
              </w:rPr>
              <w:t xml:space="preserve"> является отечественным аналогом САПР </w:t>
            </w:r>
            <w:proofErr w:type="spellStart"/>
            <w:r w:rsidRPr="00C25673">
              <w:rPr>
                <w:rFonts w:ascii="Times New Roman" w:hAnsi="Times New Roman" w:cs="Times New Roman"/>
                <w:sz w:val="28"/>
                <w:szCs w:val="28"/>
              </w:rPr>
              <w:t>AutoCad</w:t>
            </w:r>
            <w:proofErr w:type="spellEnd"/>
            <w:r w:rsidRPr="00C25673">
              <w:rPr>
                <w:rFonts w:ascii="Times New Roman" w:hAnsi="Times New Roman" w:cs="Times New Roman"/>
                <w:sz w:val="28"/>
                <w:szCs w:val="28"/>
              </w:rPr>
              <w:t xml:space="preserve"> </w:t>
            </w:r>
          </w:p>
        </w:tc>
      </w:tr>
      <w:tr w:rsidR="001A2E03" w:rsidRPr="00C25673" w14:paraId="562C7629" w14:textId="77777777">
        <w:trPr>
          <w:trHeight w:val="525"/>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78C5B" w14:textId="484F2A7A" w:rsidR="001A2E03" w:rsidRPr="00C25673" w:rsidRDefault="001A2E03" w:rsidP="001A2E03">
            <w:pPr>
              <w:spacing w:line="24" w:lineRule="atLeast"/>
              <w:jc w:val="both"/>
              <w:rPr>
                <w:rFonts w:ascii="Times New Roman" w:hAnsi="Times New Roman" w:cs="Times New Roman"/>
                <w:sz w:val="28"/>
                <w:szCs w:val="28"/>
              </w:rPr>
            </w:pPr>
            <w:r w:rsidRPr="00C25673">
              <w:rPr>
                <w:rFonts w:ascii="Times New Roman" w:hAnsi="Times New Roman" w:cs="Times New Roman"/>
                <w:sz w:val="28"/>
                <w:szCs w:val="28"/>
              </w:rPr>
              <w:lastRenderedPageBreak/>
              <w:t>ООО “</w:t>
            </w:r>
            <w:proofErr w:type="spellStart"/>
            <w:r w:rsidRPr="00C25673">
              <w:rPr>
                <w:rFonts w:ascii="Times New Roman" w:hAnsi="Times New Roman" w:cs="Times New Roman"/>
                <w:sz w:val="28"/>
                <w:szCs w:val="28"/>
              </w:rPr>
              <w:t>Аскон</w:t>
            </w:r>
            <w:proofErr w:type="spellEnd"/>
            <w:r w:rsidRPr="00C25673">
              <w:rPr>
                <w:rFonts w:ascii="Times New Roman" w:hAnsi="Times New Roman" w:cs="Times New Roman"/>
                <w:sz w:val="28"/>
                <w:szCs w:val="28"/>
              </w:rPr>
              <w:t xml:space="preserve">” </w:t>
            </w:r>
          </w:p>
        </w:tc>
        <w:tc>
          <w:tcPr>
            <w:tcW w:w="6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071DA" w14:textId="201D5A6C" w:rsidR="001A2E03" w:rsidRPr="00C25673" w:rsidRDefault="001A2E03" w:rsidP="001A2E03">
            <w:pPr>
              <w:spacing w:line="24" w:lineRule="atLeast"/>
              <w:jc w:val="both"/>
              <w:rPr>
                <w:rFonts w:ascii="Times New Roman" w:hAnsi="Times New Roman" w:cs="Times New Roman"/>
                <w:sz w:val="28"/>
                <w:szCs w:val="28"/>
              </w:rPr>
            </w:pPr>
            <w:r w:rsidRPr="00C25673">
              <w:rPr>
                <w:rFonts w:ascii="Times New Roman" w:hAnsi="Times New Roman" w:cs="Times New Roman"/>
                <w:sz w:val="28"/>
                <w:szCs w:val="28"/>
              </w:rPr>
              <w:t xml:space="preserve">Основной продукт Аскона: КОМПАС-3D — это российская </w:t>
            </w:r>
            <w:proofErr w:type="spellStart"/>
            <w:r w:rsidRPr="00C25673">
              <w:rPr>
                <w:rFonts w:ascii="Times New Roman" w:hAnsi="Times New Roman" w:cs="Times New Roman"/>
                <w:sz w:val="28"/>
                <w:szCs w:val="28"/>
              </w:rPr>
              <w:t>импортонезависимая</w:t>
            </w:r>
            <w:proofErr w:type="spellEnd"/>
            <w:r w:rsidRPr="00C25673">
              <w:rPr>
                <w:rFonts w:ascii="Times New Roman" w:hAnsi="Times New Roman" w:cs="Times New Roman"/>
                <w:sz w:val="28"/>
                <w:szCs w:val="28"/>
              </w:rPr>
              <w:t xml:space="preserve"> система трехмерного проектирования. Компания </w:t>
            </w:r>
            <w:proofErr w:type="spellStart"/>
            <w:r w:rsidRPr="00C25673">
              <w:rPr>
                <w:rFonts w:ascii="Times New Roman" w:hAnsi="Times New Roman" w:cs="Times New Roman"/>
                <w:sz w:val="28"/>
                <w:szCs w:val="28"/>
              </w:rPr>
              <w:t>Аскон</w:t>
            </w:r>
            <w:proofErr w:type="spellEnd"/>
            <w:r w:rsidRPr="00C25673">
              <w:rPr>
                <w:rFonts w:ascii="Times New Roman" w:hAnsi="Times New Roman" w:cs="Times New Roman"/>
                <w:sz w:val="28"/>
                <w:szCs w:val="28"/>
              </w:rPr>
              <w:t xml:space="preserve"> также среди основных преимуществ системы подчеркивает ее </w:t>
            </w:r>
            <w:proofErr w:type="spellStart"/>
            <w:r w:rsidRPr="00C25673">
              <w:rPr>
                <w:rFonts w:ascii="Times New Roman" w:hAnsi="Times New Roman" w:cs="Times New Roman"/>
                <w:sz w:val="28"/>
                <w:szCs w:val="28"/>
              </w:rPr>
              <w:t>импортозависимость</w:t>
            </w:r>
            <w:proofErr w:type="spellEnd"/>
            <w:r w:rsidRPr="00C25673">
              <w:rPr>
                <w:rFonts w:ascii="Times New Roman" w:hAnsi="Times New Roman" w:cs="Times New Roman"/>
                <w:sz w:val="28"/>
                <w:szCs w:val="28"/>
              </w:rPr>
              <w:t xml:space="preserve"> и постоянно увеличивающийся функционал. </w:t>
            </w:r>
          </w:p>
        </w:tc>
      </w:tr>
      <w:tr w:rsidR="001A2E03" w:rsidRPr="00C25673" w14:paraId="39D50270" w14:textId="77777777">
        <w:trPr>
          <w:trHeight w:val="525"/>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99259" w14:textId="21229B62" w:rsidR="001A2E03" w:rsidRPr="00C25673" w:rsidRDefault="001A2E03" w:rsidP="001A2E03">
            <w:pPr>
              <w:spacing w:line="24" w:lineRule="atLeast"/>
              <w:jc w:val="both"/>
              <w:rPr>
                <w:rFonts w:ascii="Times New Roman" w:hAnsi="Times New Roman" w:cs="Times New Roman"/>
                <w:sz w:val="28"/>
                <w:szCs w:val="28"/>
              </w:rPr>
            </w:pPr>
            <w:r w:rsidRPr="00C25673">
              <w:rPr>
                <w:rFonts w:ascii="Times New Roman" w:hAnsi="Times New Roman" w:cs="Times New Roman"/>
                <w:sz w:val="28"/>
                <w:szCs w:val="28"/>
              </w:rPr>
              <w:t>АО “</w:t>
            </w:r>
            <w:proofErr w:type="spellStart"/>
            <w:r w:rsidRPr="00C25673">
              <w:rPr>
                <w:rFonts w:ascii="Times New Roman" w:hAnsi="Times New Roman" w:cs="Times New Roman"/>
                <w:sz w:val="28"/>
                <w:szCs w:val="28"/>
              </w:rPr>
              <w:t>Сисофт</w:t>
            </w:r>
            <w:proofErr w:type="spellEnd"/>
            <w:r w:rsidRPr="00C25673">
              <w:rPr>
                <w:rFonts w:ascii="Times New Roman" w:hAnsi="Times New Roman" w:cs="Times New Roman"/>
                <w:sz w:val="28"/>
                <w:szCs w:val="28"/>
              </w:rPr>
              <w:t xml:space="preserve"> Девелопмент” </w:t>
            </w:r>
          </w:p>
        </w:tc>
        <w:tc>
          <w:tcPr>
            <w:tcW w:w="6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048C8" w14:textId="47AFB047" w:rsidR="001A2E03" w:rsidRPr="00C25673" w:rsidRDefault="001A2E03" w:rsidP="001A2E03">
            <w:pPr>
              <w:spacing w:line="24" w:lineRule="atLeast"/>
              <w:jc w:val="both"/>
              <w:rPr>
                <w:rFonts w:ascii="Times New Roman" w:hAnsi="Times New Roman" w:cs="Times New Roman"/>
                <w:sz w:val="28"/>
                <w:szCs w:val="28"/>
              </w:rPr>
            </w:pPr>
            <w:r w:rsidRPr="00C25673">
              <w:rPr>
                <w:rFonts w:ascii="Times New Roman" w:hAnsi="Times New Roman" w:cs="Times New Roman"/>
                <w:sz w:val="28"/>
                <w:szCs w:val="28"/>
              </w:rPr>
              <w:t xml:space="preserve">Российский разработчик инженерного программного обеспечения и технологий: САПР, BIM, PLM. Компания разрабатывает более 10 отечественных продуктов, подчеркивает важность запуска ПО на системе Astra Linux. </w:t>
            </w:r>
          </w:p>
        </w:tc>
      </w:tr>
    </w:tbl>
    <w:p w14:paraId="020EF709" w14:textId="1EC79BAA" w:rsidR="00285104" w:rsidRPr="00955080" w:rsidRDefault="001A2E03" w:rsidP="00971076">
      <w:pPr>
        <w:spacing w:line="24" w:lineRule="atLeas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Источник: </w:t>
      </w:r>
      <w:r w:rsidR="00C56DDD" w:rsidRPr="00955080">
        <w:rPr>
          <w:rFonts w:ascii="Times New Roman" w:hAnsi="Times New Roman" w:cs="Times New Roman"/>
          <w:sz w:val="28"/>
          <w:szCs w:val="28"/>
          <w:lang w:val="ru-RU"/>
        </w:rPr>
        <w:t>[6]</w:t>
      </w:r>
    </w:p>
    <w:p w14:paraId="1327BA43" w14:textId="77777777" w:rsidR="00285104" w:rsidRPr="00C25673" w:rsidRDefault="00C25673" w:rsidP="00971076">
      <w:pPr>
        <w:spacing w:line="24" w:lineRule="atLeast"/>
        <w:jc w:val="both"/>
        <w:rPr>
          <w:rFonts w:ascii="Times New Roman" w:hAnsi="Times New Roman" w:cs="Times New Roman"/>
          <w:sz w:val="28"/>
          <w:szCs w:val="28"/>
        </w:rPr>
      </w:pPr>
      <w:r w:rsidRPr="00C25673">
        <w:rPr>
          <w:rFonts w:ascii="Times New Roman" w:hAnsi="Times New Roman" w:cs="Times New Roman"/>
          <w:sz w:val="28"/>
          <w:szCs w:val="28"/>
        </w:rPr>
        <w:tab/>
        <w:t xml:space="preserve">Разумеется, вендоров отечественного ПО на данных момент значительное количество: более 200 организаций, которые продолжают развивать ПО. В данной статье были рассмотрены основные лидеры в разработке российского софта: можно отметить, что компании адаптировались к текущим требованиям высокотехнологичных компаний и основной стратегией развития является соответствие требованиям пользователей ПО. </w:t>
      </w:r>
    </w:p>
    <w:p w14:paraId="76215356" w14:textId="77777777" w:rsidR="00285104" w:rsidRPr="00C25673" w:rsidRDefault="00C25673" w:rsidP="00971076">
      <w:pPr>
        <w:spacing w:line="24" w:lineRule="atLeast"/>
        <w:jc w:val="both"/>
        <w:rPr>
          <w:rFonts w:ascii="Times New Roman" w:hAnsi="Times New Roman" w:cs="Times New Roman"/>
          <w:sz w:val="28"/>
          <w:szCs w:val="28"/>
        </w:rPr>
      </w:pPr>
      <w:r w:rsidRPr="00C25673">
        <w:rPr>
          <w:rFonts w:ascii="Times New Roman" w:hAnsi="Times New Roman" w:cs="Times New Roman"/>
          <w:sz w:val="28"/>
          <w:szCs w:val="28"/>
        </w:rPr>
        <w:tab/>
        <w:t>Рассмотрим основные угрозы отечественных вендоров:</w:t>
      </w:r>
    </w:p>
    <w:p w14:paraId="77870785" w14:textId="77777777" w:rsidR="00285104" w:rsidRPr="00C25673" w:rsidRDefault="00C25673" w:rsidP="001A2E03">
      <w:pPr>
        <w:numPr>
          <w:ilvl w:val="0"/>
          <w:numId w:val="1"/>
        </w:numPr>
        <w:spacing w:line="24" w:lineRule="atLeast"/>
        <w:ind w:left="0" w:firstLine="709"/>
        <w:jc w:val="both"/>
        <w:rPr>
          <w:rFonts w:ascii="Times New Roman" w:hAnsi="Times New Roman" w:cs="Times New Roman"/>
          <w:sz w:val="28"/>
          <w:szCs w:val="28"/>
        </w:rPr>
      </w:pPr>
      <w:r w:rsidRPr="00C25673">
        <w:rPr>
          <w:rFonts w:ascii="Times New Roman" w:hAnsi="Times New Roman" w:cs="Times New Roman"/>
          <w:sz w:val="28"/>
          <w:szCs w:val="28"/>
        </w:rPr>
        <w:t xml:space="preserve">угроза монополизации рынка отечественных вендоров: лидеры отрасли, разрабатывающие свои продукты аналогами функционала зарубежного ПО, могут повышать цену на свои продукты, имея репутацию надежного поставщика программного обеспечения. Более того, финансирование более мелких организаций может быть ограничено, вследствие чего уменьшится развитие разработки их софта. </w:t>
      </w:r>
    </w:p>
    <w:p w14:paraId="12386E22" w14:textId="77777777" w:rsidR="00285104" w:rsidRPr="00C25673" w:rsidRDefault="00C25673" w:rsidP="001A2E03">
      <w:pPr>
        <w:numPr>
          <w:ilvl w:val="0"/>
          <w:numId w:val="1"/>
        </w:numPr>
        <w:spacing w:line="24" w:lineRule="atLeast"/>
        <w:ind w:left="0" w:firstLine="709"/>
        <w:jc w:val="both"/>
        <w:rPr>
          <w:rFonts w:ascii="Times New Roman" w:hAnsi="Times New Roman" w:cs="Times New Roman"/>
          <w:sz w:val="28"/>
          <w:szCs w:val="28"/>
        </w:rPr>
      </w:pPr>
      <w:r w:rsidRPr="00C25673">
        <w:rPr>
          <w:rFonts w:ascii="Times New Roman" w:hAnsi="Times New Roman" w:cs="Times New Roman"/>
          <w:sz w:val="28"/>
          <w:szCs w:val="28"/>
        </w:rPr>
        <w:t>угроза отсутствия времени на разработку качественных программных продуктов (в связи с давлением со стороны высокотехнологичных компаний как можно быстрее закрыть потребность в отечественных продуктах, чтобы остаться аккредитованными организациями);</w:t>
      </w:r>
    </w:p>
    <w:p w14:paraId="19E5C8B9" w14:textId="77777777" w:rsidR="00285104" w:rsidRPr="00C25673" w:rsidRDefault="00C25673" w:rsidP="001A2E03">
      <w:pPr>
        <w:numPr>
          <w:ilvl w:val="0"/>
          <w:numId w:val="1"/>
        </w:numPr>
        <w:spacing w:line="24" w:lineRule="atLeast"/>
        <w:ind w:left="0" w:firstLine="709"/>
        <w:jc w:val="both"/>
        <w:rPr>
          <w:rFonts w:ascii="Times New Roman" w:hAnsi="Times New Roman" w:cs="Times New Roman"/>
          <w:sz w:val="28"/>
          <w:szCs w:val="28"/>
        </w:rPr>
      </w:pPr>
      <w:r w:rsidRPr="00C25673">
        <w:rPr>
          <w:rFonts w:ascii="Times New Roman" w:hAnsi="Times New Roman" w:cs="Times New Roman"/>
          <w:sz w:val="28"/>
          <w:szCs w:val="28"/>
        </w:rPr>
        <w:t>угроза нехватки узкопрофильных специалистов (в связи с существенной утечкой IT-специалистов наблюдается нехватка данных кадров для работы над программным обеспечением);</w:t>
      </w:r>
    </w:p>
    <w:p w14:paraId="1F5227CB" w14:textId="77777777" w:rsidR="00285104" w:rsidRPr="00C25673" w:rsidRDefault="00C25673" w:rsidP="001A2E03">
      <w:pPr>
        <w:numPr>
          <w:ilvl w:val="0"/>
          <w:numId w:val="1"/>
        </w:numPr>
        <w:spacing w:line="24" w:lineRule="atLeast"/>
        <w:ind w:left="0" w:firstLine="709"/>
        <w:jc w:val="both"/>
        <w:rPr>
          <w:rFonts w:ascii="Times New Roman" w:hAnsi="Times New Roman" w:cs="Times New Roman"/>
          <w:sz w:val="28"/>
          <w:szCs w:val="28"/>
        </w:rPr>
      </w:pPr>
      <w:r w:rsidRPr="00C25673">
        <w:rPr>
          <w:rFonts w:ascii="Times New Roman" w:hAnsi="Times New Roman" w:cs="Times New Roman"/>
          <w:sz w:val="28"/>
          <w:szCs w:val="28"/>
        </w:rPr>
        <w:lastRenderedPageBreak/>
        <w:t>угроза прекращения сотрудничества с зарубежными клиентами (большинство российских вендоров выбирают между двумя вариантами развития: наращивать российскую клиентскую базу или выработать стратегию по привлечению зарубежных пользователей, совмещать два направления развития на данный момент является труднодоступным);</w:t>
      </w:r>
    </w:p>
    <w:p w14:paraId="2DCD4E45" w14:textId="77777777" w:rsidR="00285104" w:rsidRPr="00C25673" w:rsidRDefault="00C25673" w:rsidP="001A2E03">
      <w:pPr>
        <w:numPr>
          <w:ilvl w:val="0"/>
          <w:numId w:val="1"/>
        </w:numPr>
        <w:spacing w:line="24" w:lineRule="atLeast"/>
        <w:ind w:left="0" w:firstLine="709"/>
        <w:jc w:val="both"/>
        <w:rPr>
          <w:rFonts w:ascii="Times New Roman" w:hAnsi="Times New Roman" w:cs="Times New Roman"/>
          <w:sz w:val="28"/>
          <w:szCs w:val="28"/>
        </w:rPr>
      </w:pPr>
      <w:r w:rsidRPr="00C25673">
        <w:rPr>
          <w:rFonts w:ascii="Times New Roman" w:hAnsi="Times New Roman" w:cs="Times New Roman"/>
          <w:sz w:val="28"/>
          <w:szCs w:val="28"/>
        </w:rPr>
        <w:t>угроза изменения курса развития отечественного софта на национальном уровне в связи с изменением политической ситуации (существует угроза изменения политического курса в сторону снятия ограничений для аккредитованных организаций, что может привести к увеличению расходов российских разработчиков на повторное изменение стратегии развития);</w:t>
      </w:r>
    </w:p>
    <w:p w14:paraId="38407765" w14:textId="77777777" w:rsidR="00285104" w:rsidRPr="00C25673" w:rsidRDefault="00C25673" w:rsidP="001A2E03">
      <w:pPr>
        <w:numPr>
          <w:ilvl w:val="0"/>
          <w:numId w:val="1"/>
        </w:numPr>
        <w:spacing w:line="24" w:lineRule="atLeast"/>
        <w:ind w:left="0" w:firstLine="709"/>
        <w:jc w:val="both"/>
        <w:rPr>
          <w:rFonts w:ascii="Times New Roman" w:hAnsi="Times New Roman" w:cs="Times New Roman"/>
          <w:sz w:val="28"/>
          <w:szCs w:val="28"/>
        </w:rPr>
      </w:pPr>
      <w:r w:rsidRPr="00C25673">
        <w:rPr>
          <w:rFonts w:ascii="Times New Roman" w:hAnsi="Times New Roman" w:cs="Times New Roman"/>
          <w:sz w:val="28"/>
          <w:szCs w:val="28"/>
        </w:rPr>
        <w:t>угроза увеличения количества судебных исков от зарубежных компаний по поводу плагиата их разработок (стремление повторить функционал зарубежного ПО, тем самым закрыв потребности российских потребителей, возможны случаи плагиата уже имеющихся решений на зарубежном рынке);</w:t>
      </w:r>
    </w:p>
    <w:p w14:paraId="1C313EBA" w14:textId="5039C1DF" w:rsidR="00285104" w:rsidRPr="00B56154" w:rsidRDefault="00C25673" w:rsidP="001A2E03">
      <w:pPr>
        <w:numPr>
          <w:ilvl w:val="0"/>
          <w:numId w:val="1"/>
        </w:numPr>
        <w:spacing w:line="24" w:lineRule="atLeast"/>
        <w:ind w:left="0" w:firstLine="709"/>
        <w:jc w:val="both"/>
        <w:rPr>
          <w:rFonts w:ascii="Times New Roman" w:hAnsi="Times New Roman" w:cs="Times New Roman"/>
          <w:sz w:val="28"/>
          <w:szCs w:val="28"/>
        </w:rPr>
      </w:pPr>
      <w:r w:rsidRPr="00C25673">
        <w:rPr>
          <w:rFonts w:ascii="Times New Roman" w:hAnsi="Times New Roman" w:cs="Times New Roman"/>
          <w:sz w:val="28"/>
          <w:szCs w:val="28"/>
        </w:rPr>
        <w:t xml:space="preserve">угроза увеличения расходов на техническую поддержку пользователей в связи с созданием новых продуктов/ добавление функционала (пользователи нового ПО могут столкнуться с отсутствием знаний по эксплуатации программных продуктов или могут возникнуть технические сбои на стороне вендора при апробации последних версий ПО </w:t>
      </w:r>
      <w:r w:rsidR="00955080" w:rsidRPr="00C25673">
        <w:rPr>
          <w:rFonts w:ascii="Times New Roman" w:hAnsi="Times New Roman" w:cs="Times New Roman"/>
          <w:sz w:val="28"/>
          <w:szCs w:val="28"/>
        </w:rPr>
        <w:t>— это</w:t>
      </w:r>
      <w:r w:rsidRPr="00C25673">
        <w:rPr>
          <w:rFonts w:ascii="Times New Roman" w:hAnsi="Times New Roman" w:cs="Times New Roman"/>
          <w:sz w:val="28"/>
          <w:szCs w:val="28"/>
        </w:rPr>
        <w:t xml:space="preserve"> может привести к увеличению расходов обеспечения технической поддержки).  </w:t>
      </w:r>
    </w:p>
    <w:p w14:paraId="284021AA" w14:textId="77777777" w:rsidR="00B56154" w:rsidRDefault="00C25673" w:rsidP="00971076">
      <w:pPr>
        <w:spacing w:line="24" w:lineRule="atLeast"/>
        <w:ind w:firstLine="720"/>
        <w:jc w:val="both"/>
        <w:rPr>
          <w:rFonts w:ascii="Times New Roman" w:hAnsi="Times New Roman" w:cs="Times New Roman"/>
          <w:sz w:val="28"/>
          <w:szCs w:val="28"/>
        </w:rPr>
      </w:pPr>
      <w:r w:rsidRPr="00C25673">
        <w:rPr>
          <w:rFonts w:ascii="Times New Roman" w:hAnsi="Times New Roman" w:cs="Times New Roman"/>
          <w:sz w:val="28"/>
          <w:szCs w:val="28"/>
        </w:rPr>
        <w:t>Таким образом, рынок вендоров отечественного ПО претерпевает существенные изменения, которые влияют и на работу российских высокотехнологичных компаний. Автор предполагает, что вследствие данной ситуации будут развиваться следующее:</w:t>
      </w:r>
    </w:p>
    <w:p w14:paraId="3F584429" w14:textId="77777777" w:rsidR="00285104" w:rsidRPr="00B56154" w:rsidRDefault="00C25673" w:rsidP="001A2E03">
      <w:pPr>
        <w:pStyle w:val="a5"/>
        <w:numPr>
          <w:ilvl w:val="0"/>
          <w:numId w:val="5"/>
        </w:numPr>
        <w:spacing w:line="24" w:lineRule="atLeast"/>
        <w:ind w:left="0" w:firstLine="709"/>
        <w:jc w:val="both"/>
        <w:rPr>
          <w:rFonts w:ascii="Times New Roman" w:hAnsi="Times New Roman" w:cs="Times New Roman"/>
          <w:sz w:val="28"/>
          <w:szCs w:val="28"/>
        </w:rPr>
      </w:pPr>
      <w:r w:rsidRPr="00B56154">
        <w:rPr>
          <w:rFonts w:ascii="Times New Roman" w:hAnsi="Times New Roman" w:cs="Times New Roman"/>
          <w:sz w:val="28"/>
          <w:szCs w:val="28"/>
        </w:rPr>
        <w:t xml:space="preserve">определение лидеров отрасли, следовательно, возможна монополизация рынка отечественного ПО; </w:t>
      </w:r>
    </w:p>
    <w:p w14:paraId="383BA4B9" w14:textId="77777777" w:rsidR="00285104" w:rsidRPr="00C25673" w:rsidRDefault="00C25673" w:rsidP="001A2E03">
      <w:pPr>
        <w:numPr>
          <w:ilvl w:val="0"/>
          <w:numId w:val="5"/>
        </w:numPr>
        <w:spacing w:line="24" w:lineRule="atLeast"/>
        <w:ind w:left="0" w:firstLine="709"/>
        <w:jc w:val="both"/>
        <w:rPr>
          <w:rFonts w:ascii="Times New Roman" w:hAnsi="Times New Roman" w:cs="Times New Roman"/>
          <w:sz w:val="28"/>
          <w:szCs w:val="28"/>
        </w:rPr>
      </w:pPr>
      <w:r w:rsidRPr="00C25673">
        <w:rPr>
          <w:rFonts w:ascii="Times New Roman" w:hAnsi="Times New Roman" w:cs="Times New Roman"/>
          <w:sz w:val="28"/>
          <w:szCs w:val="28"/>
        </w:rPr>
        <w:t xml:space="preserve">появление нестандартных решений от стартапов, что повлияет на развитие отечественного софта; </w:t>
      </w:r>
    </w:p>
    <w:p w14:paraId="632B2027" w14:textId="77777777" w:rsidR="00285104" w:rsidRPr="00C25673" w:rsidRDefault="00C25673" w:rsidP="001A2E03">
      <w:pPr>
        <w:numPr>
          <w:ilvl w:val="0"/>
          <w:numId w:val="5"/>
        </w:numPr>
        <w:spacing w:line="24" w:lineRule="atLeast"/>
        <w:ind w:left="0" w:firstLine="709"/>
        <w:jc w:val="both"/>
        <w:rPr>
          <w:rFonts w:ascii="Times New Roman" w:hAnsi="Times New Roman" w:cs="Times New Roman"/>
          <w:sz w:val="28"/>
          <w:szCs w:val="28"/>
        </w:rPr>
      </w:pPr>
      <w:r w:rsidRPr="00C25673">
        <w:rPr>
          <w:rFonts w:ascii="Times New Roman" w:hAnsi="Times New Roman" w:cs="Times New Roman"/>
          <w:sz w:val="28"/>
          <w:szCs w:val="28"/>
        </w:rPr>
        <w:t xml:space="preserve">замедление работы высокотехнологичных компаний в 2024 году в связи с требованиям процесса импортозамещения в организации: как следствие, срыв сроков реализации проектов, увеличение расходов на поиск решений на рынке ПО. </w:t>
      </w:r>
    </w:p>
    <w:p w14:paraId="087D54EF" w14:textId="7DCC619E" w:rsidR="00285104" w:rsidRDefault="00285104" w:rsidP="00971076">
      <w:pPr>
        <w:spacing w:line="24" w:lineRule="atLeast"/>
        <w:jc w:val="both"/>
        <w:rPr>
          <w:rFonts w:ascii="Times New Roman" w:hAnsi="Times New Roman" w:cs="Times New Roman"/>
          <w:sz w:val="28"/>
          <w:szCs w:val="28"/>
        </w:rPr>
      </w:pPr>
    </w:p>
    <w:p w14:paraId="24C9EECC" w14:textId="7874C8AD" w:rsidR="001A2E03" w:rsidRDefault="001A2E03" w:rsidP="001A2E03">
      <w:pPr>
        <w:spacing w:line="24" w:lineRule="atLeast"/>
        <w:jc w:val="center"/>
        <w:rPr>
          <w:rFonts w:ascii="Times New Roman" w:hAnsi="Times New Roman" w:cs="Times New Roman"/>
          <w:b/>
          <w:bCs/>
          <w:sz w:val="28"/>
          <w:szCs w:val="28"/>
          <w:lang w:val="ru-RU"/>
        </w:rPr>
      </w:pPr>
      <w:r w:rsidRPr="001A2E03">
        <w:rPr>
          <w:rFonts w:ascii="Times New Roman" w:hAnsi="Times New Roman" w:cs="Times New Roman"/>
          <w:b/>
          <w:bCs/>
          <w:sz w:val="28"/>
          <w:szCs w:val="28"/>
          <w:lang w:val="ru-RU"/>
        </w:rPr>
        <w:t>Список литературы</w:t>
      </w:r>
    </w:p>
    <w:p w14:paraId="40A05D94" w14:textId="2D5ADDC1" w:rsidR="001A2E03" w:rsidRPr="001A2E03" w:rsidRDefault="001A2E03" w:rsidP="001A2E03">
      <w:pPr>
        <w:spacing w:line="288" w:lineRule="auto"/>
        <w:ind w:firstLine="708"/>
        <w:jc w:val="both"/>
        <w:rPr>
          <w:rFonts w:ascii="Times New Roman" w:eastAsia="Calibri" w:hAnsi="Times New Roman" w:cs="Times New Roman"/>
          <w:sz w:val="28"/>
          <w:szCs w:val="28"/>
          <w:lang w:val="ru-RU"/>
        </w:rPr>
      </w:pPr>
      <w:r w:rsidRPr="001A2E03">
        <w:rPr>
          <w:rFonts w:ascii="Times New Roman" w:eastAsia="Calibri" w:hAnsi="Times New Roman" w:cs="Times New Roman"/>
          <w:sz w:val="28"/>
          <w:szCs w:val="28"/>
          <w:lang w:val="ru-RU"/>
        </w:rPr>
        <w:t>1</w:t>
      </w:r>
      <w:r w:rsidRPr="001A2E03">
        <w:rPr>
          <w:rFonts w:ascii="Times New Roman" w:eastAsia="Calibri" w:hAnsi="Times New Roman" w:cs="Times New Roman"/>
          <w:sz w:val="28"/>
          <w:szCs w:val="28"/>
        </w:rPr>
        <w:t xml:space="preserve">. </w:t>
      </w:r>
      <w:proofErr w:type="spellStart"/>
      <w:r w:rsidRPr="001A2E03">
        <w:rPr>
          <w:rFonts w:ascii="Times New Roman" w:eastAsia="Calibri" w:hAnsi="Times New Roman" w:cs="Times New Roman"/>
          <w:sz w:val="28"/>
          <w:szCs w:val="28"/>
        </w:rPr>
        <w:t>Сыщикова</w:t>
      </w:r>
      <w:proofErr w:type="spellEnd"/>
      <w:r w:rsidRPr="001A2E03">
        <w:rPr>
          <w:rFonts w:ascii="Times New Roman" w:eastAsia="Calibri" w:hAnsi="Times New Roman" w:cs="Times New Roman"/>
          <w:sz w:val="28"/>
          <w:szCs w:val="28"/>
        </w:rPr>
        <w:t xml:space="preserve"> В.П. Экономическая безопасность торговых организаций в современных условиях // Вестник науки. </w:t>
      </w:r>
      <w:r w:rsidRPr="001A2E03">
        <w:rPr>
          <w:rFonts w:ascii="Times New Roman" w:eastAsia="Calibri" w:hAnsi="Times New Roman" w:cs="Times New Roman"/>
          <w:sz w:val="28"/>
          <w:szCs w:val="28"/>
          <w:lang w:val="en-US"/>
        </w:rPr>
        <w:t xml:space="preserve">2022. № 5 (50). URL:  </w:t>
      </w:r>
      <w:hyperlink r:id="rId8" w:history="1">
        <w:r w:rsidRPr="001A2E03">
          <w:rPr>
            <w:rStyle w:val="aa"/>
            <w:rFonts w:ascii="Times New Roman" w:eastAsia="Calibri" w:hAnsi="Times New Roman" w:cs="Times New Roman"/>
            <w:sz w:val="28"/>
            <w:szCs w:val="28"/>
            <w:lang w:val="en-US"/>
          </w:rPr>
          <w:t xml:space="preserve">https://cyberleninka.ru/article/n/ekonomicheskaya-bezopasnost </w:t>
        </w:r>
        <w:proofErr w:type="spellStart"/>
        <w:r w:rsidRPr="001A2E03">
          <w:rPr>
            <w:rStyle w:val="aa"/>
            <w:rFonts w:ascii="Times New Roman" w:eastAsia="Calibri" w:hAnsi="Times New Roman" w:cs="Times New Roman"/>
            <w:sz w:val="28"/>
            <w:szCs w:val="28"/>
            <w:lang w:val="en-US"/>
          </w:rPr>
          <w:t>torgovyhorganizatsiy</w:t>
        </w:r>
        <w:proofErr w:type="spellEnd"/>
        <w:r w:rsidRPr="001A2E03">
          <w:rPr>
            <w:rStyle w:val="aa"/>
            <w:rFonts w:ascii="Times New Roman" w:eastAsia="Calibri" w:hAnsi="Times New Roman" w:cs="Times New Roman"/>
            <w:sz w:val="28"/>
            <w:szCs w:val="28"/>
            <w:lang w:val="en-US"/>
          </w:rPr>
          <w:t xml:space="preserve">- </w:t>
        </w:r>
        <w:proofErr w:type="spellStart"/>
        <w:r w:rsidRPr="001A2E03">
          <w:rPr>
            <w:rStyle w:val="aa"/>
            <w:rFonts w:ascii="Times New Roman" w:eastAsia="Calibri" w:hAnsi="Times New Roman" w:cs="Times New Roman"/>
            <w:sz w:val="28"/>
            <w:szCs w:val="28"/>
            <w:lang w:val="en-US"/>
          </w:rPr>
          <w:t>vsovremennyh</w:t>
        </w:r>
        <w:proofErr w:type="spellEnd"/>
        <w:r w:rsidRPr="001A2E03">
          <w:rPr>
            <w:rStyle w:val="aa"/>
            <w:rFonts w:ascii="Times New Roman" w:eastAsia="Calibri" w:hAnsi="Times New Roman" w:cs="Times New Roman"/>
            <w:sz w:val="28"/>
            <w:szCs w:val="28"/>
            <w:lang w:val="en-US"/>
          </w:rPr>
          <w:t xml:space="preserve">- </w:t>
        </w:r>
        <w:proofErr w:type="spellStart"/>
        <w:r w:rsidRPr="001A2E03">
          <w:rPr>
            <w:rStyle w:val="aa"/>
            <w:rFonts w:ascii="Times New Roman" w:eastAsia="Calibri" w:hAnsi="Times New Roman" w:cs="Times New Roman"/>
            <w:sz w:val="28"/>
            <w:szCs w:val="28"/>
            <w:lang w:val="en-US"/>
          </w:rPr>
          <w:t>usloviyah</w:t>
        </w:r>
        <w:proofErr w:type="spellEnd"/>
      </w:hyperlink>
      <w:r w:rsidRPr="001A2E03">
        <w:rPr>
          <w:rFonts w:ascii="Times New Roman" w:eastAsia="Calibri" w:hAnsi="Times New Roman" w:cs="Times New Roman"/>
          <w:sz w:val="28"/>
          <w:szCs w:val="28"/>
          <w:lang w:val="en-US"/>
        </w:rPr>
        <w:t xml:space="preserve">. </w:t>
      </w:r>
      <w:r w:rsidRPr="001A2E03">
        <w:rPr>
          <w:rFonts w:ascii="Times New Roman" w:eastAsia="Calibri" w:hAnsi="Times New Roman" w:cs="Times New Roman"/>
          <w:sz w:val="28"/>
          <w:szCs w:val="28"/>
          <w:lang w:val="ru-RU"/>
        </w:rPr>
        <w:t>(Дата обращения: 10.03.2024)</w:t>
      </w:r>
    </w:p>
    <w:p w14:paraId="6332D386" w14:textId="2D7D3109" w:rsidR="001A2E03" w:rsidRPr="001A2E03" w:rsidRDefault="001A2E03" w:rsidP="001A2E03">
      <w:pPr>
        <w:spacing w:line="288" w:lineRule="auto"/>
        <w:ind w:firstLine="708"/>
        <w:jc w:val="both"/>
        <w:rPr>
          <w:rFonts w:ascii="Times New Roman" w:eastAsia="Calibri" w:hAnsi="Times New Roman" w:cs="Times New Roman"/>
          <w:sz w:val="28"/>
          <w:szCs w:val="28"/>
          <w:lang w:val="ru-RU"/>
        </w:rPr>
      </w:pPr>
      <w:r w:rsidRPr="001A2E03">
        <w:rPr>
          <w:rFonts w:ascii="Times New Roman" w:eastAsia="Calibri" w:hAnsi="Times New Roman" w:cs="Times New Roman"/>
          <w:sz w:val="28"/>
          <w:szCs w:val="28"/>
          <w:lang w:val="ru-RU"/>
        </w:rPr>
        <w:lastRenderedPageBreak/>
        <w:t>2</w:t>
      </w:r>
      <w:r w:rsidRPr="001A2E03">
        <w:rPr>
          <w:rFonts w:ascii="Times New Roman" w:eastAsia="Calibri" w:hAnsi="Times New Roman" w:cs="Times New Roman"/>
          <w:sz w:val="28"/>
          <w:szCs w:val="28"/>
        </w:rPr>
        <w:t>. Лебедев Д. Д. Понятие и сущность экономической безопасности предприятия / Д.Д. Лебедев // Актуальные исследования. – 202</w:t>
      </w:r>
      <w:r w:rsidRPr="001A2E03">
        <w:rPr>
          <w:rFonts w:ascii="Times New Roman" w:eastAsia="Calibri" w:hAnsi="Times New Roman" w:cs="Times New Roman"/>
          <w:sz w:val="28"/>
          <w:szCs w:val="28"/>
          <w:lang w:val="ru-RU"/>
        </w:rPr>
        <w:t>3</w:t>
      </w:r>
      <w:r w:rsidRPr="001A2E03">
        <w:rPr>
          <w:rFonts w:ascii="Times New Roman" w:eastAsia="Calibri" w:hAnsi="Times New Roman" w:cs="Times New Roman"/>
          <w:sz w:val="28"/>
          <w:szCs w:val="28"/>
        </w:rPr>
        <w:t>. – №12 (39). – С. 48-50.</w:t>
      </w:r>
      <w:r w:rsidRPr="001A2E03">
        <w:rPr>
          <w:rFonts w:ascii="Times New Roman" w:eastAsia="Calibri" w:hAnsi="Times New Roman" w:cs="Times New Roman"/>
          <w:sz w:val="28"/>
          <w:szCs w:val="28"/>
          <w:lang w:val="ru-RU"/>
        </w:rPr>
        <w:t xml:space="preserve"> </w:t>
      </w:r>
    </w:p>
    <w:p w14:paraId="3343870A" w14:textId="661ACC78" w:rsidR="001A2E03" w:rsidRPr="001A2E03" w:rsidRDefault="001A2E03" w:rsidP="001A2E03">
      <w:pPr>
        <w:spacing w:line="288" w:lineRule="auto"/>
        <w:ind w:firstLine="708"/>
        <w:jc w:val="both"/>
        <w:rPr>
          <w:rFonts w:ascii="Times New Roman" w:eastAsia="Calibri" w:hAnsi="Times New Roman" w:cs="Times New Roman"/>
          <w:sz w:val="28"/>
          <w:szCs w:val="28"/>
        </w:rPr>
      </w:pPr>
      <w:r w:rsidRPr="001A2E03">
        <w:rPr>
          <w:rFonts w:ascii="Times New Roman" w:eastAsia="Calibri" w:hAnsi="Times New Roman" w:cs="Times New Roman"/>
          <w:sz w:val="28"/>
          <w:szCs w:val="28"/>
          <w:lang w:val="ru-RU"/>
        </w:rPr>
        <w:t>3</w:t>
      </w:r>
      <w:r w:rsidRPr="001A2E03">
        <w:rPr>
          <w:rFonts w:ascii="Times New Roman" w:eastAsia="Calibri" w:hAnsi="Times New Roman" w:cs="Times New Roman"/>
          <w:sz w:val="28"/>
          <w:szCs w:val="28"/>
        </w:rPr>
        <w:t>. Ломовцева А. В. Инновационная активность и формирование экономической безопасности предприятий / А. В. Ломовцева, Т. В. Трофимова // Экономическая безопасность России: проблемы и перспективы: Материалы Международной научно-практической конференции, Нижний Новгород, 15 мая 2013 года. – Нижний Новгород: Нижегородский государственный технический университет им. Р.Е. Алексеева. – 201</w:t>
      </w:r>
      <w:r w:rsidRPr="001A2E03">
        <w:rPr>
          <w:rFonts w:ascii="Times New Roman" w:eastAsia="Calibri" w:hAnsi="Times New Roman" w:cs="Times New Roman"/>
          <w:sz w:val="28"/>
          <w:szCs w:val="28"/>
          <w:lang w:val="ru-RU"/>
        </w:rPr>
        <w:t>7</w:t>
      </w:r>
      <w:r w:rsidRPr="001A2E03">
        <w:rPr>
          <w:rFonts w:ascii="Times New Roman" w:eastAsia="Calibri" w:hAnsi="Times New Roman" w:cs="Times New Roman"/>
          <w:sz w:val="28"/>
          <w:szCs w:val="28"/>
        </w:rPr>
        <w:t>. – С. 399-403.</w:t>
      </w:r>
    </w:p>
    <w:p w14:paraId="79266C80" w14:textId="452E487C" w:rsidR="001A2E03" w:rsidRPr="001A2E03" w:rsidRDefault="001A2E03" w:rsidP="001A2E03">
      <w:pPr>
        <w:tabs>
          <w:tab w:val="left" w:pos="1134"/>
        </w:tabs>
        <w:spacing w:line="288" w:lineRule="auto"/>
        <w:ind w:firstLine="567"/>
        <w:jc w:val="both"/>
        <w:rPr>
          <w:rFonts w:ascii="Times New Roman" w:eastAsia="Calibri" w:hAnsi="Times New Roman" w:cs="Times New Roman"/>
          <w:sz w:val="28"/>
          <w:szCs w:val="28"/>
        </w:rPr>
      </w:pPr>
      <w:r w:rsidRPr="001A2E03">
        <w:rPr>
          <w:rFonts w:ascii="Times New Roman" w:eastAsia="Calibri" w:hAnsi="Times New Roman" w:cs="Times New Roman"/>
          <w:sz w:val="28"/>
          <w:szCs w:val="28"/>
          <w:lang w:val="ru-RU"/>
        </w:rPr>
        <w:t>4.</w:t>
      </w:r>
      <w:r w:rsidRPr="001A2E03">
        <w:rPr>
          <w:rFonts w:ascii="Times New Roman" w:eastAsia="Calibri" w:hAnsi="Times New Roman" w:cs="Times New Roman"/>
          <w:sz w:val="28"/>
          <w:szCs w:val="28"/>
        </w:rPr>
        <w:t xml:space="preserve"> </w:t>
      </w:r>
      <w:proofErr w:type="spellStart"/>
      <w:r w:rsidRPr="001A2E03">
        <w:rPr>
          <w:rFonts w:ascii="Times New Roman" w:eastAsia="Calibri" w:hAnsi="Times New Roman" w:cs="Times New Roman"/>
          <w:sz w:val="28"/>
          <w:szCs w:val="28"/>
        </w:rPr>
        <w:t>Сайт</w:t>
      </w:r>
      <w:proofErr w:type="spellEnd"/>
      <w:r w:rsidRPr="001A2E03">
        <w:rPr>
          <w:rFonts w:ascii="Times New Roman" w:eastAsia="Calibri" w:hAnsi="Times New Roman" w:cs="Times New Roman"/>
          <w:sz w:val="28"/>
          <w:szCs w:val="28"/>
        </w:rPr>
        <w:t xml:space="preserve"> </w:t>
      </w:r>
      <w:proofErr w:type="spellStart"/>
      <w:r w:rsidRPr="001A2E03">
        <w:rPr>
          <w:rFonts w:ascii="Times New Roman" w:eastAsia="Calibri" w:hAnsi="Times New Roman" w:cs="Times New Roman"/>
          <w:sz w:val="28"/>
          <w:szCs w:val="28"/>
        </w:rPr>
        <w:t>Федеральнои</w:t>
      </w:r>
      <w:proofErr w:type="spellEnd"/>
      <w:r w:rsidRPr="001A2E03">
        <w:rPr>
          <w:rFonts w:ascii="Times New Roman" w:eastAsia="Calibri" w:hAnsi="Times New Roman" w:cs="Times New Roman"/>
          <w:sz w:val="28"/>
          <w:szCs w:val="28"/>
        </w:rPr>
        <w:t xml:space="preserve">̆ службы </w:t>
      </w:r>
      <w:proofErr w:type="spellStart"/>
      <w:r w:rsidRPr="001A2E03">
        <w:rPr>
          <w:rFonts w:ascii="Times New Roman" w:eastAsia="Calibri" w:hAnsi="Times New Roman" w:cs="Times New Roman"/>
          <w:sz w:val="28"/>
          <w:szCs w:val="28"/>
        </w:rPr>
        <w:t>государственнои</w:t>
      </w:r>
      <w:proofErr w:type="spellEnd"/>
      <w:r w:rsidRPr="001A2E03">
        <w:rPr>
          <w:rFonts w:ascii="Times New Roman" w:eastAsia="Calibri" w:hAnsi="Times New Roman" w:cs="Times New Roman"/>
          <w:sz w:val="28"/>
          <w:szCs w:val="28"/>
        </w:rPr>
        <w:t>̆ статистики. URL: https://rosstat.gov.ru.</w:t>
      </w:r>
    </w:p>
    <w:p w14:paraId="521D69BA" w14:textId="65A5E336" w:rsidR="001A2E03" w:rsidRPr="001A2E03" w:rsidRDefault="001A2E03" w:rsidP="001A2E03">
      <w:pPr>
        <w:tabs>
          <w:tab w:val="left" w:pos="1134"/>
        </w:tabs>
        <w:spacing w:line="288" w:lineRule="auto"/>
        <w:ind w:firstLine="567"/>
        <w:contextualSpacing/>
        <w:jc w:val="both"/>
        <w:rPr>
          <w:rFonts w:ascii="Times New Roman" w:eastAsia="Calibri" w:hAnsi="Times New Roman" w:cs="Times New Roman"/>
          <w:sz w:val="28"/>
          <w:szCs w:val="28"/>
        </w:rPr>
      </w:pPr>
      <w:r w:rsidRPr="001A2E03">
        <w:rPr>
          <w:rFonts w:ascii="Times New Roman" w:eastAsia="Calibri" w:hAnsi="Times New Roman" w:cs="Times New Roman"/>
          <w:sz w:val="28"/>
          <w:szCs w:val="28"/>
          <w:lang w:val="ru-RU"/>
        </w:rPr>
        <w:t>5</w:t>
      </w:r>
      <w:r w:rsidRPr="001A2E03">
        <w:rPr>
          <w:rFonts w:ascii="Times New Roman" w:eastAsia="Calibri" w:hAnsi="Times New Roman" w:cs="Times New Roman"/>
          <w:sz w:val="28"/>
          <w:szCs w:val="28"/>
        </w:rPr>
        <w:t xml:space="preserve">. Финансовый анализ // «Модели банкротства предприятий» // URL: </w:t>
      </w:r>
      <w:hyperlink r:id="rId9" w:history="1">
        <w:r w:rsidRPr="001A2E03">
          <w:rPr>
            <w:rFonts w:ascii="Times New Roman" w:eastAsia="Calibri" w:hAnsi="Times New Roman" w:cs="Times New Roman"/>
            <w:sz w:val="28"/>
            <w:szCs w:val="28"/>
          </w:rPr>
          <w:t>https://finzz.ru/modeli-bankrotstva-zarubezhnyx-predpriyatij-4-mda-modeli.html</w:t>
        </w:r>
      </w:hyperlink>
    </w:p>
    <w:p w14:paraId="0D72975E" w14:textId="7D234056" w:rsidR="001A2E03" w:rsidRPr="001A2E03" w:rsidRDefault="001A2E03" w:rsidP="001A2E03">
      <w:pPr>
        <w:tabs>
          <w:tab w:val="left" w:pos="1134"/>
        </w:tabs>
        <w:spacing w:line="288" w:lineRule="auto"/>
        <w:ind w:firstLine="567"/>
        <w:contextualSpacing/>
        <w:jc w:val="both"/>
        <w:rPr>
          <w:rFonts w:ascii="Times New Roman" w:eastAsia="Calibri" w:hAnsi="Times New Roman" w:cs="Times New Roman"/>
          <w:sz w:val="28"/>
          <w:szCs w:val="28"/>
          <w:lang w:val="en-US"/>
        </w:rPr>
      </w:pPr>
      <w:r w:rsidRPr="001A2E03">
        <w:rPr>
          <w:rFonts w:ascii="Times New Roman" w:eastAsia="Calibri" w:hAnsi="Times New Roman" w:cs="Times New Roman"/>
          <w:sz w:val="28"/>
          <w:szCs w:val="28"/>
          <w:lang w:val="en-US"/>
        </w:rPr>
        <w:t xml:space="preserve">6. </w:t>
      </w:r>
      <w:r w:rsidRPr="001A2E03">
        <w:rPr>
          <w:rFonts w:ascii="Times New Roman" w:eastAsia="Calibri" w:hAnsi="Times New Roman" w:cs="Times New Roman"/>
          <w:sz w:val="28"/>
          <w:szCs w:val="28"/>
        </w:rPr>
        <w:t>Портал</w:t>
      </w:r>
      <w:r w:rsidRPr="001A2E03">
        <w:rPr>
          <w:rFonts w:ascii="Times New Roman" w:eastAsia="Calibri" w:hAnsi="Times New Roman" w:cs="Times New Roman"/>
          <w:sz w:val="28"/>
          <w:szCs w:val="28"/>
          <w:lang w:val="en-US"/>
        </w:rPr>
        <w:t xml:space="preserve"> Rusprofile.ru. URL :https://www.rusprofile.ru</w:t>
      </w:r>
    </w:p>
    <w:p w14:paraId="6A3901BD" w14:textId="77777777" w:rsidR="001A2E03" w:rsidRPr="001A2E03" w:rsidRDefault="001A2E03" w:rsidP="001A2E03">
      <w:pPr>
        <w:spacing w:line="24" w:lineRule="atLeast"/>
        <w:rPr>
          <w:rFonts w:ascii="Times New Roman" w:hAnsi="Times New Roman" w:cs="Times New Roman"/>
          <w:b/>
          <w:bCs/>
          <w:sz w:val="28"/>
          <w:szCs w:val="28"/>
          <w:lang w:val="en-US"/>
        </w:rPr>
      </w:pPr>
    </w:p>
    <w:sectPr w:rsidR="001A2E03" w:rsidRPr="001A2E0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D3ED4" w14:textId="77777777" w:rsidR="00D82876" w:rsidRDefault="00D82876" w:rsidP="001A2E03">
      <w:pPr>
        <w:spacing w:line="240" w:lineRule="auto"/>
      </w:pPr>
      <w:r>
        <w:separator/>
      </w:r>
    </w:p>
  </w:endnote>
  <w:endnote w:type="continuationSeparator" w:id="0">
    <w:p w14:paraId="71CBD778" w14:textId="77777777" w:rsidR="00D82876" w:rsidRDefault="00D82876" w:rsidP="001A2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E9F6" w14:textId="77777777" w:rsidR="00D82876" w:rsidRDefault="00D82876" w:rsidP="001A2E03">
      <w:pPr>
        <w:spacing w:line="240" w:lineRule="auto"/>
      </w:pPr>
      <w:r>
        <w:separator/>
      </w:r>
    </w:p>
  </w:footnote>
  <w:footnote w:type="continuationSeparator" w:id="0">
    <w:p w14:paraId="0EDF1F9E" w14:textId="77777777" w:rsidR="00D82876" w:rsidRDefault="00D82876" w:rsidP="001A2E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4046"/>
    <w:multiLevelType w:val="multilevel"/>
    <w:tmpl w:val="4FDE8A6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5F6CFF"/>
    <w:multiLevelType w:val="multilevel"/>
    <w:tmpl w:val="8118E2B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8C406B"/>
    <w:multiLevelType w:val="multilevel"/>
    <w:tmpl w:val="F9329170"/>
    <w:lvl w:ilvl="0">
      <w:start w:val="2"/>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DD40DA9"/>
    <w:multiLevelType w:val="multilevel"/>
    <w:tmpl w:val="6DFA91AE"/>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04B7A6B"/>
    <w:multiLevelType w:val="multilevel"/>
    <w:tmpl w:val="3F7CC5D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7D1EDE"/>
    <w:multiLevelType w:val="multilevel"/>
    <w:tmpl w:val="12F6E43C"/>
    <w:lvl w:ilvl="0">
      <w:start w:val="1"/>
      <w:numFmt w:val="bullet"/>
      <w:lvlText w:val=""/>
      <w:lvlJc w:val="left"/>
      <w:pPr>
        <w:ind w:left="1440" w:hanging="360"/>
      </w:pPr>
      <w:rPr>
        <w:rFonts w:ascii="Symbol" w:hAnsi="Symbol"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04"/>
    <w:rsid w:val="001A2E03"/>
    <w:rsid w:val="00285104"/>
    <w:rsid w:val="00955080"/>
    <w:rsid w:val="00971076"/>
    <w:rsid w:val="00B56154"/>
    <w:rsid w:val="00C25673"/>
    <w:rsid w:val="00C56DDD"/>
    <w:rsid w:val="00D82876"/>
    <w:rsid w:val="00E83C7D"/>
    <w:rsid w:val="00F20A1C"/>
    <w:rsid w:val="00FF2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F08A"/>
  <w15:docId w15:val="{42FEE92C-05D6-4549-95F8-FCFD1CA5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10">
    <w:name w:val="1"/>
    <w:basedOn w:val="TableNormal"/>
    <w:tblPr>
      <w:tblStyleRowBandSize w:val="1"/>
      <w:tblStyleColBandSize w:val="1"/>
      <w:tblCellMar>
        <w:top w:w="100" w:type="dxa"/>
        <w:left w:w="100" w:type="dxa"/>
        <w:bottom w:w="100" w:type="dxa"/>
        <w:right w:w="100" w:type="dxa"/>
      </w:tblCellMar>
    </w:tblPr>
  </w:style>
  <w:style w:type="paragraph" w:styleId="a5">
    <w:name w:val="List Paragraph"/>
    <w:basedOn w:val="a"/>
    <w:uiPriority w:val="34"/>
    <w:qFormat/>
    <w:rsid w:val="00B56154"/>
    <w:pPr>
      <w:ind w:left="720"/>
      <w:contextualSpacing/>
    </w:pPr>
  </w:style>
  <w:style w:type="paragraph" w:styleId="a6">
    <w:name w:val="header"/>
    <w:basedOn w:val="a"/>
    <w:link w:val="a7"/>
    <w:uiPriority w:val="99"/>
    <w:unhideWhenUsed/>
    <w:rsid w:val="001A2E03"/>
    <w:pPr>
      <w:tabs>
        <w:tab w:val="center" w:pos="4677"/>
        <w:tab w:val="right" w:pos="9355"/>
      </w:tabs>
      <w:spacing w:line="240" w:lineRule="auto"/>
    </w:pPr>
  </w:style>
  <w:style w:type="character" w:customStyle="1" w:styleId="a7">
    <w:name w:val="Верхний колонтитул Знак"/>
    <w:basedOn w:val="a0"/>
    <w:link w:val="a6"/>
    <w:uiPriority w:val="99"/>
    <w:rsid w:val="001A2E03"/>
  </w:style>
  <w:style w:type="paragraph" w:styleId="a8">
    <w:name w:val="footer"/>
    <w:basedOn w:val="a"/>
    <w:link w:val="a9"/>
    <w:uiPriority w:val="99"/>
    <w:unhideWhenUsed/>
    <w:rsid w:val="001A2E03"/>
    <w:pPr>
      <w:tabs>
        <w:tab w:val="center" w:pos="4677"/>
        <w:tab w:val="right" w:pos="9355"/>
      </w:tabs>
      <w:spacing w:line="240" w:lineRule="auto"/>
    </w:pPr>
  </w:style>
  <w:style w:type="character" w:customStyle="1" w:styleId="a9">
    <w:name w:val="Нижний колонтитул Знак"/>
    <w:basedOn w:val="a0"/>
    <w:link w:val="a8"/>
    <w:uiPriority w:val="99"/>
    <w:rsid w:val="001A2E03"/>
  </w:style>
  <w:style w:type="character" w:styleId="aa">
    <w:name w:val="Hyperlink"/>
    <w:basedOn w:val="a0"/>
    <w:uiPriority w:val="99"/>
    <w:unhideWhenUsed/>
    <w:rsid w:val="001A2E03"/>
    <w:rPr>
      <w:color w:val="0000FF" w:themeColor="hyperlink"/>
      <w:u w:val="single"/>
    </w:rPr>
  </w:style>
  <w:style w:type="character" w:styleId="ab">
    <w:name w:val="Unresolved Mention"/>
    <w:basedOn w:val="a0"/>
    <w:uiPriority w:val="99"/>
    <w:semiHidden/>
    <w:unhideWhenUsed/>
    <w:rsid w:val="001A2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yberleninka.ru/article/n/ekonomicheskaya-bezopasnost%20torgovyhorganizatsiy-%20vsovremennyh-%20usloviyah"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nzz.ru/modeli-bankrotstva-zarubezhnyx-predpriyatij-4-mda-modeli.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Динамика количества</a:t>
            </a:r>
            <a:r>
              <a:rPr lang="en-US" sz="1100" baseline="0">
                <a:solidFill>
                  <a:sysClr val="windowText" lastClr="000000"/>
                </a:solidFill>
                <a:latin typeface="Times New Roman" panose="02020603050405020304" pitchFamily="18" charset="0"/>
                <a:cs typeface="Times New Roman" panose="02020603050405020304" pitchFamily="18" charset="0"/>
              </a:rPr>
              <a:t> ПО в Реестре программного обеспечения в РФ, 2018-2023 гг </a:t>
            </a:r>
            <a:endParaRPr lang="ru-RU"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stacked"/>
        <c:varyColors val="0"/>
        <c:ser>
          <c:idx val="0"/>
          <c:order val="0"/>
          <c:tx>
            <c:strRef>
              <c:f>Лист1!$C$2</c:f>
              <c:strCache>
                <c:ptCount val="1"/>
                <c:pt idx="0">
                  <c:v>кол-во включенных в реестр ПО </c:v>
                </c:pt>
              </c:strCache>
            </c:strRef>
          </c:tx>
          <c:spPr>
            <a:solidFill>
              <a:schemeClr val="bg1">
                <a:lumMod val="50000"/>
              </a:schemeClr>
            </a:solidFill>
            <a:ln>
              <a:noFill/>
            </a:ln>
            <a:effectLst/>
          </c:spPr>
          <c:invertIfNegative val="0"/>
          <c:cat>
            <c:numRef>
              <c:f>Лист1!$B$3:$B$8</c:f>
              <c:numCache>
                <c:formatCode>General</c:formatCode>
                <c:ptCount val="6"/>
                <c:pt idx="0">
                  <c:v>2018</c:v>
                </c:pt>
                <c:pt idx="1">
                  <c:v>2019</c:v>
                </c:pt>
                <c:pt idx="2">
                  <c:v>2020</c:v>
                </c:pt>
                <c:pt idx="3">
                  <c:v>2021</c:v>
                </c:pt>
                <c:pt idx="4">
                  <c:v>2022</c:v>
                </c:pt>
                <c:pt idx="5">
                  <c:v>2023</c:v>
                </c:pt>
              </c:numCache>
            </c:numRef>
          </c:cat>
          <c:val>
            <c:numRef>
              <c:f>Лист1!$C$3:$C$8</c:f>
              <c:numCache>
                <c:formatCode>General</c:formatCode>
                <c:ptCount val="6"/>
                <c:pt idx="0">
                  <c:v>814</c:v>
                </c:pt>
                <c:pt idx="1">
                  <c:v>873</c:v>
                </c:pt>
                <c:pt idx="2">
                  <c:v>2238</c:v>
                </c:pt>
                <c:pt idx="3">
                  <c:v>3568</c:v>
                </c:pt>
                <c:pt idx="4">
                  <c:v>3728</c:v>
                </c:pt>
                <c:pt idx="5">
                  <c:v>4725</c:v>
                </c:pt>
              </c:numCache>
            </c:numRef>
          </c:val>
          <c:extLst>
            <c:ext xmlns:c16="http://schemas.microsoft.com/office/drawing/2014/chart" uri="{C3380CC4-5D6E-409C-BE32-E72D297353CC}">
              <c16:uniqueId val="{00000000-1232-40DA-BEC2-B099E6BA5673}"/>
            </c:ext>
          </c:extLst>
        </c:ser>
        <c:ser>
          <c:idx val="1"/>
          <c:order val="1"/>
          <c:tx>
            <c:strRef>
              <c:f>Лист1!$D$2</c:f>
              <c:strCache>
                <c:ptCount val="1"/>
                <c:pt idx="0">
                  <c:v>кол-во отказов </c:v>
                </c:pt>
              </c:strCache>
            </c:strRef>
          </c:tx>
          <c:spPr>
            <a:solidFill>
              <a:schemeClr val="tx1"/>
            </a:solidFill>
            <a:ln>
              <a:noFill/>
            </a:ln>
            <a:effectLst/>
          </c:spPr>
          <c:invertIfNegative val="0"/>
          <c:cat>
            <c:numRef>
              <c:f>Лист1!$B$3:$B$8</c:f>
              <c:numCache>
                <c:formatCode>General</c:formatCode>
                <c:ptCount val="6"/>
                <c:pt idx="0">
                  <c:v>2018</c:v>
                </c:pt>
                <c:pt idx="1">
                  <c:v>2019</c:v>
                </c:pt>
                <c:pt idx="2">
                  <c:v>2020</c:v>
                </c:pt>
                <c:pt idx="3">
                  <c:v>2021</c:v>
                </c:pt>
                <c:pt idx="4">
                  <c:v>2022</c:v>
                </c:pt>
                <c:pt idx="5">
                  <c:v>2023</c:v>
                </c:pt>
              </c:numCache>
            </c:numRef>
          </c:cat>
          <c:val>
            <c:numRef>
              <c:f>Лист1!$D$3:$D$8</c:f>
              <c:numCache>
                <c:formatCode>General</c:formatCode>
                <c:ptCount val="6"/>
                <c:pt idx="0">
                  <c:v>0</c:v>
                </c:pt>
                <c:pt idx="1">
                  <c:v>0</c:v>
                </c:pt>
                <c:pt idx="2">
                  <c:v>0</c:v>
                </c:pt>
                <c:pt idx="3">
                  <c:v>94</c:v>
                </c:pt>
                <c:pt idx="4">
                  <c:v>90</c:v>
                </c:pt>
                <c:pt idx="5">
                  <c:v>149</c:v>
                </c:pt>
              </c:numCache>
            </c:numRef>
          </c:val>
          <c:extLst>
            <c:ext xmlns:c16="http://schemas.microsoft.com/office/drawing/2014/chart" uri="{C3380CC4-5D6E-409C-BE32-E72D297353CC}">
              <c16:uniqueId val="{00000001-1232-40DA-BEC2-B099E6BA5673}"/>
            </c:ext>
          </c:extLst>
        </c:ser>
        <c:dLbls>
          <c:showLegendKey val="0"/>
          <c:showVal val="0"/>
          <c:showCatName val="0"/>
          <c:showSerName val="0"/>
          <c:showPercent val="0"/>
          <c:showBubbleSize val="0"/>
        </c:dLbls>
        <c:gapWidth val="150"/>
        <c:overlap val="100"/>
        <c:axId val="482588816"/>
        <c:axId val="482589472"/>
      </c:barChart>
      <c:catAx>
        <c:axId val="482588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2589472"/>
        <c:crosses val="autoZero"/>
        <c:auto val="1"/>
        <c:lblAlgn val="ctr"/>
        <c:lblOffset val="100"/>
        <c:noMultiLvlLbl val="0"/>
      </c:catAx>
      <c:valAx>
        <c:axId val="482589472"/>
        <c:scaling>
          <c:orientation val="minMax"/>
        </c:scaling>
        <c:delete val="0"/>
        <c:axPos val="l"/>
        <c:majorGridlines>
          <c:spPr>
            <a:ln w="9525" cap="flat" cmpd="sng" algn="ctr">
              <a:solidFill>
                <a:srgbClr val="80808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2588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rgbClr val="DDDDDD"/>
    </a:solidFill>
    <a:ln w="9525" cap="flat" cmpd="sng" algn="ctr">
      <a:solidFill>
        <a:schemeClr val="bg1">
          <a:lumMod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1914</Words>
  <Characters>10913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Енина Кристина Михайловна</dc:creator>
  <cp:keywords/>
  <cp:lastModifiedBy>Енина Кристина Михайловна</cp:lastModifiedBy>
  <cp:revision>5</cp:revision>
  <dcterms:created xsi:type="dcterms:W3CDTF">2024-01-30T06:32:00Z</dcterms:created>
  <dcterms:modified xsi:type="dcterms:W3CDTF">2024-03-14T15:36:00Z</dcterms:modified>
</cp:coreProperties>
</file>