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C33D4" w14:textId="77777777" w:rsidR="003B36B3" w:rsidRPr="003B36B3" w:rsidRDefault="003B36B3" w:rsidP="006953C8">
      <w:pPr>
        <w:spacing w:line="360" w:lineRule="auto"/>
        <w:jc w:val="both"/>
        <w:rPr>
          <w:rFonts w:ascii="Times New Roman" w:hAnsi="Times New Roman" w:cs="Times New Roman"/>
          <w:b/>
          <w:bCs/>
          <w:color w:val="333333"/>
        </w:rPr>
      </w:pPr>
    </w:p>
    <w:p w14:paraId="228D0CAE" w14:textId="77777777" w:rsidR="003B36B3" w:rsidRDefault="003B36B3" w:rsidP="003B36B3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14:paraId="182C3FB0" w14:textId="2F48509D" w:rsidR="003B36B3" w:rsidRPr="008D22C5" w:rsidRDefault="007527A2" w:rsidP="003B36B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8D22C5">
        <w:rPr>
          <w:rFonts w:ascii="Times New Roman" w:hAnsi="Times New Roman" w:cs="Times New Roman"/>
          <w:b/>
          <w:bCs/>
          <w:lang w:val="en-US"/>
        </w:rPr>
        <w:t>ESG</w:t>
      </w:r>
      <w:r w:rsidRPr="008D22C5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 - оценка </w:t>
      </w:r>
      <w:r w:rsidR="004037FE" w:rsidRPr="004037FE">
        <w:rPr>
          <w:rFonts w:ascii="Times New Roman" w:hAnsi="Times New Roman" w:cs="Times New Roman"/>
          <w:b/>
          <w:bCs/>
        </w:rPr>
        <w:t>ЦБ</w:t>
      </w:r>
      <w:r w:rsidR="004037FE">
        <w:rPr>
          <w:rFonts w:ascii="Times New Roman" w:hAnsi="Times New Roman" w:cs="Times New Roman"/>
          <w:b/>
          <w:bCs/>
        </w:rPr>
        <w:t xml:space="preserve"> РФ</w:t>
      </w:r>
      <w:r w:rsidR="003B36B3" w:rsidRPr="008D22C5">
        <w:rPr>
          <w:rFonts w:ascii="Times New Roman" w:hAnsi="Times New Roman" w:cs="Times New Roman"/>
          <w:b/>
          <w:bCs/>
        </w:rPr>
        <w:t xml:space="preserve"> в условиях санкций </w:t>
      </w:r>
    </w:p>
    <w:p w14:paraId="7493F98F" w14:textId="6CD672BF" w:rsidR="006953C8" w:rsidRPr="008D22C5" w:rsidRDefault="006953C8" w:rsidP="003B36B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D22C5">
        <w:rPr>
          <w:rFonts w:ascii="Times New Roman" w:hAnsi="Times New Roman" w:cs="Times New Roman"/>
        </w:rPr>
        <w:t>Индекс УДК</w:t>
      </w:r>
      <w:r w:rsidR="008D22C5" w:rsidRPr="008D22C5">
        <w:rPr>
          <w:rFonts w:ascii="Times New Roman" w:hAnsi="Times New Roman" w:cs="Times New Roman"/>
        </w:rPr>
        <w:t xml:space="preserve"> 341:339.9</w:t>
      </w:r>
    </w:p>
    <w:p w14:paraId="6BD9CCBF" w14:textId="77777777" w:rsidR="006953C8" w:rsidRPr="008D22C5" w:rsidRDefault="006953C8" w:rsidP="006953C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D22C5">
        <w:rPr>
          <w:rFonts w:ascii="Times New Roman" w:hAnsi="Times New Roman" w:cs="Times New Roman"/>
        </w:rPr>
        <w:t xml:space="preserve">Ермохин И.С. – научный сотрудник Российского центра компетенций и анализа стандартов ОЭСР РАНХиГС при Президенте РФ; </w:t>
      </w:r>
      <w:r w:rsidRPr="008D22C5">
        <w:rPr>
          <w:rFonts w:ascii="Times New Roman" w:hAnsi="Times New Roman" w:cs="Times New Roman"/>
          <w:color w:val="333333"/>
        </w:rPr>
        <w:t>Пречистенская</w:t>
      </w:r>
      <w:r w:rsidRPr="008D22C5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8D22C5">
        <w:rPr>
          <w:rFonts w:ascii="Times New Roman" w:hAnsi="Times New Roman" w:cs="Times New Roman"/>
          <w:color w:val="333333"/>
          <w:shd w:val="clear" w:color="auto" w:fill="FFFFFF"/>
        </w:rPr>
        <w:t xml:space="preserve">набережная, 11с2, </w:t>
      </w:r>
      <w:r w:rsidRPr="008D22C5">
        <w:rPr>
          <w:rFonts w:ascii="Times New Roman" w:hAnsi="Times New Roman" w:cs="Times New Roman"/>
        </w:rPr>
        <w:t xml:space="preserve">119571, Москва, Россия; ermokhin-is@ranepa.ru; </w:t>
      </w:r>
      <w:proofErr w:type="gramStart"/>
      <w:r w:rsidRPr="008D22C5">
        <w:rPr>
          <w:rFonts w:ascii="Times New Roman" w:hAnsi="Times New Roman" w:cs="Times New Roman"/>
        </w:rPr>
        <w:t>ORCID :</w:t>
      </w:r>
      <w:proofErr w:type="gramEnd"/>
      <w:r w:rsidRPr="008D22C5">
        <w:rPr>
          <w:rFonts w:ascii="Times New Roman" w:hAnsi="Times New Roman" w:cs="Times New Roman"/>
        </w:rPr>
        <w:t xml:space="preserve"> 0000-0002-1236-3605</w:t>
      </w:r>
    </w:p>
    <w:p w14:paraId="1D90A783" w14:textId="77777777" w:rsidR="006953C8" w:rsidRPr="008D22C5" w:rsidRDefault="006953C8" w:rsidP="006953C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51770443" w14:textId="77777777" w:rsidR="006953C8" w:rsidRPr="008D22C5" w:rsidRDefault="006953C8" w:rsidP="006953C8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en-US"/>
        </w:rPr>
      </w:pPr>
      <w:r w:rsidRPr="008D22C5">
        <w:rPr>
          <w:rFonts w:ascii="Times New Roman" w:hAnsi="Times New Roman" w:cs="Times New Roman"/>
          <w:b/>
          <w:bCs/>
          <w:lang w:val="en-US"/>
        </w:rPr>
        <w:t>ESG - assessment of services by the Central Bank in Russia under sanctions</w:t>
      </w:r>
    </w:p>
    <w:p w14:paraId="5DEB569B" w14:textId="77777777" w:rsidR="006953C8" w:rsidRPr="008D22C5" w:rsidRDefault="006953C8" w:rsidP="006953C8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2866511A" w14:textId="2552AC96" w:rsidR="006953C8" w:rsidRPr="008D22C5" w:rsidRDefault="006953C8" w:rsidP="006953C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D22C5">
        <w:rPr>
          <w:rFonts w:ascii="Times New Roman" w:hAnsi="Times New Roman" w:cs="Times New Roman"/>
          <w:lang w:val="en-US"/>
        </w:rPr>
        <w:t>UDC Index</w:t>
      </w:r>
      <w:r w:rsidR="008D22C5" w:rsidRPr="008D22C5">
        <w:rPr>
          <w:rFonts w:ascii="Times New Roman" w:hAnsi="Times New Roman" w:cs="Times New Roman"/>
        </w:rPr>
        <w:t xml:space="preserve"> 341:339.9</w:t>
      </w:r>
    </w:p>
    <w:p w14:paraId="78420F49" w14:textId="77777777" w:rsidR="006953C8" w:rsidRPr="008D22C5" w:rsidRDefault="006953C8" w:rsidP="006953C8">
      <w:pPr>
        <w:spacing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  <w:proofErr w:type="spellStart"/>
      <w:r w:rsidRPr="008D22C5">
        <w:rPr>
          <w:rFonts w:ascii="Times New Roman" w:hAnsi="Times New Roman" w:cs="Times New Roman"/>
          <w:lang w:val="en-US"/>
        </w:rPr>
        <w:t>Ermokhin</w:t>
      </w:r>
      <w:proofErr w:type="spellEnd"/>
      <w:r w:rsidRPr="008D22C5">
        <w:rPr>
          <w:rFonts w:ascii="Times New Roman" w:hAnsi="Times New Roman" w:cs="Times New Roman"/>
          <w:lang w:val="en-US"/>
        </w:rPr>
        <w:t xml:space="preserve"> I.S. – Researcher at the Russian Center for Competence and Analysis of OECD RANEPA Standards under the President of the Russian Federation; </w:t>
      </w:r>
      <w:proofErr w:type="spellStart"/>
      <w:r w:rsidRPr="008D22C5">
        <w:rPr>
          <w:rFonts w:ascii="Times New Roman" w:hAnsi="Times New Roman" w:cs="Times New Roman"/>
          <w:lang w:val="en-US"/>
        </w:rPr>
        <w:t>Prechistenskaya</w:t>
      </w:r>
      <w:proofErr w:type="spellEnd"/>
      <w:r w:rsidRPr="008D22C5">
        <w:rPr>
          <w:rFonts w:ascii="Times New Roman" w:hAnsi="Times New Roman" w:cs="Times New Roman"/>
          <w:lang w:val="en-US"/>
        </w:rPr>
        <w:t xml:space="preserve"> Embankment, 11c2, 119571, Moscow, Russia; </w:t>
      </w:r>
      <w:proofErr w:type="gramStart"/>
      <w:r w:rsidRPr="008D22C5">
        <w:rPr>
          <w:rFonts w:ascii="Times New Roman" w:hAnsi="Times New Roman" w:cs="Times New Roman"/>
          <w:lang w:val="en-US"/>
        </w:rPr>
        <w:t>ermokhin-is@ranepa.ru ;</w:t>
      </w:r>
      <w:proofErr w:type="gramEnd"/>
      <w:r w:rsidRPr="008D22C5">
        <w:rPr>
          <w:rFonts w:ascii="Times New Roman" w:hAnsi="Times New Roman" w:cs="Times New Roman"/>
          <w:lang w:val="en-US"/>
        </w:rPr>
        <w:t xml:space="preserve"> ORCID : 0000-0002-1236-3605</w:t>
      </w:r>
    </w:p>
    <w:p w14:paraId="1951503E" w14:textId="77777777" w:rsidR="003B36B3" w:rsidRPr="008D22C5" w:rsidRDefault="003B36B3" w:rsidP="007527A2">
      <w:pPr>
        <w:spacing w:line="360" w:lineRule="auto"/>
        <w:jc w:val="both"/>
        <w:rPr>
          <w:rFonts w:ascii="Times New Roman" w:hAnsi="Times New Roman" w:cs="Times New Roman"/>
          <w:color w:val="333333"/>
          <w:shd w:val="clear" w:color="auto" w:fill="FFFFFF"/>
          <w:lang w:val="en-US"/>
        </w:rPr>
      </w:pPr>
    </w:p>
    <w:p w14:paraId="5F802394" w14:textId="77777777" w:rsidR="003B36B3" w:rsidRPr="008D22C5" w:rsidRDefault="003B36B3" w:rsidP="003B36B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D22C5">
        <w:rPr>
          <w:rFonts w:ascii="Times New Roman" w:hAnsi="Times New Roman" w:cs="Times New Roman"/>
        </w:rPr>
        <w:t xml:space="preserve">В 2023 г. в процесс регулирования рынка </w:t>
      </w:r>
      <w:r w:rsidRPr="008D22C5">
        <w:rPr>
          <w:rFonts w:ascii="Times New Roman" w:hAnsi="Times New Roman" w:cs="Times New Roman"/>
          <w:lang w:val="en-US"/>
        </w:rPr>
        <w:t>ESG</w:t>
      </w:r>
      <w:r w:rsidRPr="008D22C5">
        <w:rPr>
          <w:rFonts w:ascii="Times New Roman" w:hAnsi="Times New Roman" w:cs="Times New Roman"/>
        </w:rPr>
        <w:t>-оценки включился Банк России. В январе 2023 г. ЦБ РФ опубликовал доклад для общественного обсуждения доклад «Модельная методология E</w:t>
      </w:r>
      <w:r w:rsidRPr="008D22C5">
        <w:rPr>
          <w:rFonts w:ascii="Times New Roman" w:hAnsi="Times New Roman" w:cs="Times New Roman"/>
          <w:lang w:val="en-US"/>
        </w:rPr>
        <w:t>SG</w:t>
      </w:r>
      <w:r w:rsidRPr="008D22C5">
        <w:rPr>
          <w:rFonts w:ascii="Times New Roman" w:hAnsi="Times New Roman" w:cs="Times New Roman"/>
        </w:rPr>
        <w:t xml:space="preserve">-рейтингов», в рамках которого изложил ключевые тренды регулирования </w:t>
      </w:r>
      <w:r w:rsidRPr="008D22C5">
        <w:rPr>
          <w:rFonts w:ascii="Times New Roman" w:hAnsi="Times New Roman" w:cs="Times New Roman"/>
          <w:lang w:val="en-US"/>
        </w:rPr>
        <w:t>ESG</w:t>
      </w:r>
      <w:r w:rsidRPr="008D22C5">
        <w:rPr>
          <w:rFonts w:ascii="Times New Roman" w:hAnsi="Times New Roman" w:cs="Times New Roman"/>
        </w:rPr>
        <w:t xml:space="preserve">-оценки в странах мира, а также подходы международных организаций, в том числе ОЭСР, </w:t>
      </w:r>
      <w:r w:rsidRPr="008D22C5">
        <w:rPr>
          <w:rFonts w:ascii="Times New Roman" w:hAnsi="Times New Roman" w:cs="Times New Roman"/>
          <w:lang w:val="en-US"/>
        </w:rPr>
        <w:t>IOSCO</w:t>
      </w:r>
      <w:r w:rsidRPr="008D22C5">
        <w:rPr>
          <w:rFonts w:ascii="Times New Roman" w:hAnsi="Times New Roman" w:cs="Times New Roman"/>
        </w:rPr>
        <w:t xml:space="preserve"> и других. В докладе Банк России поставил несколько вопросов к рынку о дальнейшем развитии регулирования в России, в том числе были заданы вопросы о необходимости унификации определение ESG-рейтинга, об обеспечении методологической сопоставимости, о том, должны ли </w:t>
      </w:r>
      <w:r w:rsidRPr="008D22C5">
        <w:rPr>
          <w:rFonts w:ascii="Times New Roman" w:hAnsi="Times New Roman" w:cs="Times New Roman"/>
          <w:lang w:val="en-US"/>
        </w:rPr>
        <w:t>ESG</w:t>
      </w:r>
      <w:r w:rsidRPr="008D22C5">
        <w:rPr>
          <w:rFonts w:ascii="Times New Roman" w:hAnsi="Times New Roman" w:cs="Times New Roman"/>
        </w:rPr>
        <w:t xml:space="preserve">-рейтинги иметь единую рейтинговую шкалу. </w:t>
      </w:r>
    </w:p>
    <w:p w14:paraId="51E1C26D" w14:textId="77777777" w:rsidR="003B36B3" w:rsidRPr="008D22C5" w:rsidRDefault="003B36B3" w:rsidP="003B36B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D22C5">
        <w:rPr>
          <w:rFonts w:ascii="Times New Roman" w:hAnsi="Times New Roman" w:cs="Times New Roman"/>
        </w:rPr>
        <w:tab/>
        <w:t xml:space="preserve">В результате общественных обсуждений 30 июня 2023 г. Банк России опубликовал информационное письмо № ИН-02-5/46, которое установило на уровне рекомендаций требования к рынку </w:t>
      </w:r>
      <w:r w:rsidRPr="008D22C5">
        <w:rPr>
          <w:rFonts w:ascii="Times New Roman" w:hAnsi="Times New Roman" w:cs="Times New Roman"/>
          <w:lang w:val="en-US"/>
        </w:rPr>
        <w:t>ESG</w:t>
      </w:r>
      <w:r w:rsidRPr="008D22C5">
        <w:rPr>
          <w:rFonts w:ascii="Times New Roman" w:hAnsi="Times New Roman" w:cs="Times New Roman"/>
        </w:rPr>
        <w:t xml:space="preserve">-рейтингования. В документе, в том числе отмечается, что рекомендации распространяются, в том числе на рейтинги, предоставляемые как по запросу, так и формируемые самостоятельно организациями. Также в информационном письме отмечается, что рейтинг </w:t>
      </w:r>
      <w:r w:rsidRPr="008D22C5">
        <w:rPr>
          <w:rFonts w:ascii="Times New Roman" w:hAnsi="Times New Roman" w:cs="Times New Roman"/>
          <w:lang w:val="en-US"/>
        </w:rPr>
        <w:t>ESG</w:t>
      </w:r>
      <w:r w:rsidRPr="008D22C5">
        <w:rPr>
          <w:rFonts w:ascii="Times New Roman" w:hAnsi="Times New Roman" w:cs="Times New Roman"/>
        </w:rPr>
        <w:t xml:space="preserve"> для компании должен быть трехкомпонентным, то есть оценка должна осуществляться в отношении каждого из факторов: экологического, социального, управленческого. Важно отметить, что информационное письмо предлагает применение рекомендаций только для оценки компаний, на </w:t>
      </w:r>
      <w:r w:rsidRPr="008D22C5">
        <w:rPr>
          <w:rFonts w:ascii="Times New Roman" w:hAnsi="Times New Roman" w:cs="Times New Roman"/>
          <w:lang w:val="en-US"/>
        </w:rPr>
        <w:t>ESG</w:t>
      </w:r>
      <w:r w:rsidRPr="008D22C5">
        <w:rPr>
          <w:rFonts w:ascii="Times New Roman" w:hAnsi="Times New Roman" w:cs="Times New Roman"/>
        </w:rPr>
        <w:t xml:space="preserve">-оценку городов, регионов или отдельных финансовых инструментов рекомендация не распространяется. Таким образом, рекомендация в том числе не будет </w:t>
      </w:r>
      <w:r w:rsidRPr="008D22C5">
        <w:rPr>
          <w:rFonts w:ascii="Times New Roman" w:hAnsi="Times New Roman" w:cs="Times New Roman"/>
        </w:rPr>
        <w:lastRenderedPageBreak/>
        <w:t>распространяться на ESG-рэнкинг субъектов РФ R</w:t>
      </w:r>
      <w:r w:rsidRPr="008D22C5">
        <w:rPr>
          <w:rFonts w:ascii="Times New Roman" w:hAnsi="Times New Roman" w:cs="Times New Roman"/>
          <w:lang w:val="en-US"/>
        </w:rPr>
        <w:t>AEX</w:t>
      </w:r>
      <w:r w:rsidRPr="008D22C5">
        <w:rPr>
          <w:rFonts w:ascii="Times New Roman" w:hAnsi="Times New Roman" w:cs="Times New Roman"/>
        </w:rPr>
        <w:t xml:space="preserve"> или на рейтинги субъектов РФ, которые готовятся Национальным рейтинговым агентством. Данный подход отвечает практикам регулирования в других странах, когда требования к E</w:t>
      </w:r>
      <w:r w:rsidRPr="008D22C5">
        <w:rPr>
          <w:rFonts w:ascii="Times New Roman" w:hAnsi="Times New Roman" w:cs="Times New Roman"/>
          <w:lang w:val="en-US"/>
        </w:rPr>
        <w:t>SG</w:t>
      </w:r>
      <w:r w:rsidRPr="008D22C5">
        <w:rPr>
          <w:rFonts w:ascii="Times New Roman" w:hAnsi="Times New Roman" w:cs="Times New Roman"/>
        </w:rPr>
        <w:t xml:space="preserve">-оценке разрабатываются именно для корпоративного сектора. При этом регулирование </w:t>
      </w:r>
      <w:r w:rsidRPr="008D22C5">
        <w:rPr>
          <w:rFonts w:ascii="Times New Roman" w:hAnsi="Times New Roman" w:cs="Times New Roman"/>
          <w:lang w:val="en-US"/>
        </w:rPr>
        <w:t>ESG</w:t>
      </w:r>
      <w:r w:rsidRPr="008D22C5">
        <w:rPr>
          <w:rFonts w:ascii="Times New Roman" w:hAnsi="Times New Roman" w:cs="Times New Roman"/>
        </w:rPr>
        <w:t xml:space="preserve">-оценки на субнациональном и национальном уровне не рассматривается. Стоит также отметить, что </w:t>
      </w:r>
      <w:r w:rsidRPr="008D22C5">
        <w:rPr>
          <w:rFonts w:ascii="Times New Roman" w:hAnsi="Times New Roman" w:cs="Times New Roman"/>
          <w:lang w:val="en-US"/>
        </w:rPr>
        <w:t>ESG</w:t>
      </w:r>
      <w:r w:rsidRPr="008D22C5">
        <w:rPr>
          <w:rFonts w:ascii="Times New Roman" w:hAnsi="Times New Roman" w:cs="Times New Roman"/>
        </w:rPr>
        <w:t xml:space="preserve">-оценка коммерческого поведения компаний и действий публичных органов власти не может быть одинаковой, так как их поведение имеет разное целеполагание (извлечение прибыли и обеспечение общественного правопорядка и развития), различные ресурсы и др.   </w:t>
      </w:r>
    </w:p>
    <w:p w14:paraId="5CECAB62" w14:textId="77777777" w:rsidR="003B36B3" w:rsidRPr="008D22C5" w:rsidRDefault="003B36B3" w:rsidP="003B36B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D22C5">
        <w:rPr>
          <w:rFonts w:ascii="Times New Roman" w:hAnsi="Times New Roman" w:cs="Times New Roman"/>
        </w:rPr>
        <w:t xml:space="preserve">В информационном письме также выделен минимальный набор показателей, который предлагается регулятором для проведения </w:t>
      </w:r>
      <w:r w:rsidRPr="008D22C5">
        <w:rPr>
          <w:rFonts w:ascii="Times New Roman" w:hAnsi="Times New Roman" w:cs="Times New Roman"/>
          <w:lang w:val="en-US"/>
        </w:rPr>
        <w:t>ESG</w:t>
      </w:r>
      <w:r w:rsidRPr="008D22C5">
        <w:rPr>
          <w:rFonts w:ascii="Times New Roman" w:hAnsi="Times New Roman" w:cs="Times New Roman"/>
        </w:rPr>
        <w:t xml:space="preserve">-оценки компаний. Рассмотрим данный набор показателей с целью оценки возможности сбора данных по таким показателям, верификации полученных данных и представленности аналогичных показателей в российских рейтингах. </w:t>
      </w:r>
    </w:p>
    <w:p w14:paraId="7E77BBFE" w14:textId="77777777" w:rsidR="003B36B3" w:rsidRPr="008D22C5" w:rsidRDefault="003B36B3" w:rsidP="003B36B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D22C5">
        <w:rPr>
          <w:rFonts w:ascii="Times New Roman" w:hAnsi="Times New Roman" w:cs="Times New Roman"/>
        </w:rPr>
        <w:t>Интересно отметить, что оценка по показателям корпоративного управления (</w:t>
      </w:r>
      <w:r w:rsidRPr="008D22C5">
        <w:rPr>
          <w:rFonts w:ascii="Times New Roman" w:hAnsi="Times New Roman" w:cs="Times New Roman"/>
          <w:lang w:val="en-US"/>
        </w:rPr>
        <w:t>G</w:t>
      </w:r>
      <w:r w:rsidRPr="008D22C5">
        <w:rPr>
          <w:rFonts w:ascii="Times New Roman" w:hAnsi="Times New Roman" w:cs="Times New Roman"/>
        </w:rPr>
        <w:t>) приобретает важное значение в контексте санкционных ограничений. В соответствии с Постановлением Правительства РФ от 24 ноября 2022 г №2131 эмитентам ценных бумаг дано право не раскрывать частично или в полном объёме корпоративную информацию вплоть до 1 июля 2023 года, а начиная с июля 2023 г. вступило в силу новое постановление Правительства РФ №1102 от 4 июля 2023 года, которое изменило подход к раскрытию информации, но сохранило ограничение для ряда компаний, отвечающим одному из следующих требований:</w:t>
      </w:r>
    </w:p>
    <w:p w14:paraId="527406F8" w14:textId="77777777" w:rsidR="003B36B3" w:rsidRPr="008D22C5" w:rsidRDefault="003B36B3" w:rsidP="003B36B3">
      <w:pPr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22C5">
        <w:rPr>
          <w:rFonts w:ascii="Times New Roman" w:hAnsi="Times New Roman" w:cs="Times New Roman"/>
        </w:rPr>
        <w:t>если в отношении эмитента действуют ограничительные меры (ПАО «НК «Роснефть», ПАО «Газпро</w:t>
      </w:r>
      <w:r w:rsidR="00063A29" w:rsidRPr="008D22C5">
        <w:rPr>
          <w:rFonts w:ascii="Times New Roman" w:hAnsi="Times New Roman" w:cs="Times New Roman"/>
        </w:rPr>
        <w:t>м</w:t>
      </w:r>
      <w:r w:rsidRPr="008D22C5">
        <w:rPr>
          <w:rFonts w:ascii="Times New Roman" w:hAnsi="Times New Roman" w:cs="Times New Roman"/>
        </w:rPr>
        <w:t>», ПАО «Северсталь» и т.д.);</w:t>
      </w:r>
    </w:p>
    <w:p w14:paraId="483C3022" w14:textId="77777777" w:rsidR="003B36B3" w:rsidRPr="008D22C5" w:rsidRDefault="003B36B3" w:rsidP="003B36B3">
      <w:pPr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22C5">
        <w:rPr>
          <w:rFonts w:ascii="Times New Roman" w:hAnsi="Times New Roman" w:cs="Times New Roman"/>
        </w:rPr>
        <w:t xml:space="preserve">если эмитент является кредитной организацией, осуществляющей банковское сопровождение гособоронзаказа; </w:t>
      </w:r>
    </w:p>
    <w:p w14:paraId="480F729A" w14:textId="77777777" w:rsidR="003B36B3" w:rsidRPr="008D22C5" w:rsidRDefault="003B36B3" w:rsidP="003B36B3">
      <w:pPr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22C5">
        <w:rPr>
          <w:rFonts w:ascii="Times New Roman" w:hAnsi="Times New Roman" w:cs="Times New Roman"/>
        </w:rPr>
        <w:t>имеет регистрацию или осуществляет хозяйственную деятельность на территориях ДНР, ЛНР, Республика Крым, Запорожской и Херсонской областях, г. Севастополь (АО «СЗ», АО «Дружба народов Нова» и т.д.);</w:t>
      </w:r>
    </w:p>
    <w:p w14:paraId="13AC4727" w14:textId="77777777" w:rsidR="003B36B3" w:rsidRPr="008D22C5" w:rsidRDefault="003B36B3" w:rsidP="003B36B3">
      <w:pPr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22C5">
        <w:rPr>
          <w:rFonts w:ascii="Times New Roman" w:hAnsi="Times New Roman" w:cs="Times New Roman"/>
        </w:rPr>
        <w:t>если эмитент включен в сводный реестр ОПК (АО «Концерн «Калашников», ПАО «Туполев» и т.д.).</w:t>
      </w:r>
    </w:p>
    <w:p w14:paraId="53326867" w14:textId="77777777" w:rsidR="003B36B3" w:rsidRPr="008D22C5" w:rsidRDefault="003B36B3" w:rsidP="003B36B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D22C5">
        <w:rPr>
          <w:rFonts w:ascii="Times New Roman" w:hAnsi="Times New Roman" w:cs="Times New Roman"/>
        </w:rPr>
        <w:t xml:space="preserve">Для многих компаний ограничение раскрытия информации привело к тому, что у корпораций не осталось возможности доказывания рынку наличие качественного корпоративного управления в компании. При этом получаемая оценка по критерию «G» стала единственной возможностью получить внешнюю верификацию. Принимая во внимание данный контекст, такие вопросы, как раскрытие информации, управление </w:t>
      </w:r>
      <w:r w:rsidRPr="008D22C5">
        <w:rPr>
          <w:rFonts w:ascii="Times New Roman" w:hAnsi="Times New Roman" w:cs="Times New Roman"/>
        </w:rPr>
        <w:lastRenderedPageBreak/>
        <w:t xml:space="preserve">рисками, органы управления организацией, позволяют компании доказывать высокий уровень корпоративного управления. Кроме того, позиция ЦБ РФ о раскрытии оценки по каждому из трех направлений (E, </w:t>
      </w:r>
      <w:r w:rsidRPr="008D22C5">
        <w:rPr>
          <w:rFonts w:ascii="Times New Roman" w:hAnsi="Times New Roman" w:cs="Times New Roman"/>
          <w:lang w:val="en-US"/>
        </w:rPr>
        <w:t>S</w:t>
      </w:r>
      <w:r w:rsidRPr="008D22C5">
        <w:rPr>
          <w:rFonts w:ascii="Times New Roman" w:hAnsi="Times New Roman" w:cs="Times New Roman"/>
        </w:rPr>
        <w:t xml:space="preserve">, </w:t>
      </w:r>
      <w:r w:rsidRPr="008D22C5">
        <w:rPr>
          <w:rFonts w:ascii="Times New Roman" w:hAnsi="Times New Roman" w:cs="Times New Roman"/>
          <w:lang w:val="en-US"/>
        </w:rPr>
        <w:t>G</w:t>
      </w:r>
      <w:r w:rsidRPr="008D22C5">
        <w:rPr>
          <w:rFonts w:ascii="Times New Roman" w:hAnsi="Times New Roman" w:cs="Times New Roman"/>
        </w:rPr>
        <w:t xml:space="preserve">) также позволит не размывать оценку поведения компании по вопросам корпоративного управления. Примечательно также, что текущая практика раскрытия информации об оценке </w:t>
      </w:r>
      <w:r w:rsidRPr="008D22C5">
        <w:rPr>
          <w:rFonts w:ascii="Times New Roman" w:hAnsi="Times New Roman" w:cs="Times New Roman"/>
          <w:lang w:val="en-US"/>
        </w:rPr>
        <w:t>ESG</w:t>
      </w:r>
      <w:r w:rsidRPr="008D22C5">
        <w:rPr>
          <w:rFonts w:ascii="Times New Roman" w:hAnsi="Times New Roman" w:cs="Times New Roman"/>
        </w:rPr>
        <w:t xml:space="preserve"> на российском рынке предполагает отдельную демонстрацию уровня корпоративного управления. Так, например, в оценке АКРА, проведенной для АО «ГТЛК» указывается, что компания соблюдает Кодекс корпоративного управления, при этом также указаны и риски в этой сфере: «Сдерживающее влияние на оценку качества корпоративного управления оказало отсутствие в годовых отчетах Компании информации о ESG-рисках и риск-аппетите, отсутствие Политики в отношении сделок с аффилированными сторонами, включая описание механизма осуществления сделок с аффилированными сторонами и критериев признания стороны аффилированной». </w:t>
      </w:r>
    </w:p>
    <w:p w14:paraId="4FDC0AF6" w14:textId="77777777" w:rsidR="003B36B3" w:rsidRPr="008D22C5" w:rsidRDefault="003B36B3" w:rsidP="003B36B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D22C5">
        <w:rPr>
          <w:rFonts w:ascii="Times New Roman" w:hAnsi="Times New Roman" w:cs="Times New Roman"/>
        </w:rPr>
        <w:t xml:space="preserve">Интересно отметить, что большинство показателей, которые рекомендованы Банком России по вопросам окружающей среды, могут быть доступны только в рамках нефинансовой отчетности, которую готовит компания. При этом, например, для показателей «Землепользование» и «Леса и биоразнообразие» российские эмитенты наиболее редко раскрывают информацию в своих отчетах. Как следствие хотя показатели и являются важными для раскрытия и оценки, на российском рынке не накоплено данных как для проведения сравнения поведения компаний, так и для оценки успеха отдельных организаций. Так, например, у крупнейших российских компаний ПАО «Газпром», ПАО «Лукойл», </w:t>
      </w:r>
      <w:r w:rsidRPr="008D22C5">
        <w:rPr>
          <w:rFonts w:ascii="Times New Roman" w:hAnsi="Times New Roman" w:cs="Times New Roman"/>
          <w:lang w:val="en-US"/>
        </w:rPr>
        <w:t>X</w:t>
      </w:r>
      <w:r w:rsidRPr="008D22C5">
        <w:rPr>
          <w:rFonts w:ascii="Times New Roman" w:hAnsi="Times New Roman" w:cs="Times New Roman"/>
        </w:rPr>
        <w:t xml:space="preserve">5 </w:t>
      </w:r>
      <w:r w:rsidRPr="008D22C5">
        <w:rPr>
          <w:rFonts w:ascii="Times New Roman" w:hAnsi="Times New Roman" w:cs="Times New Roman"/>
          <w:lang w:val="en-US"/>
        </w:rPr>
        <w:t>Retail</w:t>
      </w:r>
      <w:r w:rsidRPr="008D22C5">
        <w:rPr>
          <w:rFonts w:ascii="Times New Roman" w:hAnsi="Times New Roman" w:cs="Times New Roman"/>
        </w:rPr>
        <w:t xml:space="preserve"> </w:t>
      </w:r>
      <w:r w:rsidRPr="008D22C5">
        <w:rPr>
          <w:rFonts w:ascii="Times New Roman" w:hAnsi="Times New Roman" w:cs="Times New Roman"/>
          <w:lang w:val="en-US"/>
        </w:rPr>
        <w:t>Group</w:t>
      </w:r>
      <w:r w:rsidRPr="008D22C5">
        <w:rPr>
          <w:rFonts w:ascii="Times New Roman" w:hAnsi="Times New Roman" w:cs="Times New Roman"/>
        </w:rPr>
        <w:t>, ООО ГК «</w:t>
      </w:r>
      <w:proofErr w:type="spellStart"/>
      <w:r w:rsidRPr="008D22C5">
        <w:rPr>
          <w:rFonts w:ascii="Times New Roman" w:hAnsi="Times New Roman" w:cs="Times New Roman"/>
        </w:rPr>
        <w:t>Ростех</w:t>
      </w:r>
      <w:proofErr w:type="spellEnd"/>
      <w:r w:rsidRPr="008D22C5">
        <w:rPr>
          <w:rFonts w:ascii="Times New Roman" w:hAnsi="Times New Roman" w:cs="Times New Roman"/>
        </w:rPr>
        <w:t>» такой информации не представлено. Также примечательно, что только в отношении оценки качества воздуха есть данные государственной статистики по форме 2-ТП, которые могут быть использованы для оценки, в остальном информация собирается и раскрывается компанией только по своему усмотрению. Также интересно отметить, что в настоящее время российские рейтинговые агентства не оценивают экологические требования компаний к цепочкам поставок, оставляя свой фокус исключительно на деятельности самой организации.</w:t>
      </w:r>
    </w:p>
    <w:p w14:paraId="479D6D83" w14:textId="77777777" w:rsidR="001A0FB0" w:rsidRPr="008D22C5" w:rsidRDefault="001A0FB0" w:rsidP="001A0FB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D22C5">
        <w:rPr>
          <w:rFonts w:ascii="Times New Roman" w:hAnsi="Times New Roman" w:cs="Times New Roman"/>
        </w:rPr>
        <w:t xml:space="preserve">Наиболее целесообразным для РФ в соблюдении международных стандартов по раскрытию нефинансовой информации видится установление минимальных показателей по раскрытию информации, нераскрытие которых должно пресекаться законом. При этом в минимальных показателях по раскрытию нефинансовой информации должен отражаться принцип двойной материальности, который заключается в отражении аспектов, влияющих на финансовые показатели организации, и влияния деятельности организации на различные аспекты в области устойчивого развития. Представляется, что инструкция Банка России № </w:t>
      </w:r>
      <w:r w:rsidRPr="008D22C5">
        <w:rPr>
          <w:rFonts w:ascii="Times New Roman" w:hAnsi="Times New Roman" w:cs="Times New Roman"/>
        </w:rPr>
        <w:lastRenderedPageBreak/>
        <w:t xml:space="preserve">ИН-02-5/46 от 30 июня 2023 г, в которой содержится набор показателей для проведения ESG-оценки, может стать основой раскрытия показателей компаниями. </w:t>
      </w:r>
    </w:p>
    <w:p w14:paraId="7D7F14E0" w14:textId="77777777" w:rsidR="001A0FB0" w:rsidRPr="008D22C5" w:rsidRDefault="001A0FB0" w:rsidP="001A0FB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D22C5">
        <w:rPr>
          <w:rFonts w:ascii="Times New Roman" w:hAnsi="Times New Roman" w:cs="Times New Roman"/>
        </w:rPr>
        <w:t xml:space="preserve">При этом организация должна обеспечить такой объем раскрытия информации, который позволит заинтересованным лицам получить полное представление о воздействии деятельности организации на окружающую среду (в том числе климат), социальную сферу (в том числе соблюдение прав человека) и экономику, представление об учете ESG-факторов, а также рисков и возможностей, связанных с указанными факторами. Далее идет фактор поощрения организации в ESG-рейтинге, т.е. после раскрытия минимальной необходимой по закону нефинансовой информации, организация будет вынуждена самостоятельно соблюсти дополнительные рекомендации по раскрытию нефинансовой информации для получения высокого ESG-рейтинга. </w:t>
      </w:r>
    </w:p>
    <w:p w14:paraId="0F50D0DC" w14:textId="77777777" w:rsidR="003B36B3" w:rsidRPr="008D22C5" w:rsidRDefault="001A0FB0" w:rsidP="001A0FB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D22C5">
        <w:rPr>
          <w:rFonts w:ascii="Times New Roman" w:hAnsi="Times New Roman" w:cs="Times New Roman"/>
        </w:rPr>
        <w:t xml:space="preserve">Отдельно стоит отметить, что раскрытие информации в соответствии с международными стандартами должно осуществляться и по цепочкам поставок компании. Данное требование необходимо с учетом специфики российской экономики: в ключевых российских отраслях, в том числе промышленности, добычи, логистики, действуют несколько компаний – лидеров индустрии, которые в свою очередь являются заказчиками для тысячи других российских предприятий. В соответствие с CSRD в ЕС предприятия обязуются раскрывать информацию о фактических и потенциальных неблагоприятных последствиях, связанную с формированием стоимости товаров (услуг) предприятия, включая информацию о цепочке поставок. Получение информации предприятием о своих контрагентах (поставщиках) происходит в рамках процедуры должной осмотрительности (due diligence). В России ЦБ РФ также рекомендует организациям в рамках цепочки поставок раскрывать следующую информацию: виды вовлеченных в цепочку поставок (подрядчики, исполнители); общее количество поставщиков; географическое расположение поставщиков; отраслевые характеристики цепочки поставок; существенные изменения, произошедшие в цепочке поставок [1]. Таким образом, рекомендации ЦБ РФ полностью повторяют рекомендации стандартов GRI о раскрытии информации о цепочке поставок и могут быть использованы в качестве основы.  </w:t>
      </w:r>
    </w:p>
    <w:p w14:paraId="2A694896" w14:textId="77777777" w:rsidR="00063A29" w:rsidRPr="008D22C5" w:rsidRDefault="00063A29" w:rsidP="001A0FB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241272F8" w14:textId="77777777" w:rsidR="00063A29" w:rsidRPr="008D22C5" w:rsidRDefault="00063A29" w:rsidP="00063A2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D22C5">
        <w:rPr>
          <w:rFonts w:ascii="Times New Roman" w:hAnsi="Times New Roman" w:cs="Times New Roman"/>
          <w:b/>
          <w:bCs/>
        </w:rPr>
        <w:t>Источники</w:t>
      </w:r>
    </w:p>
    <w:p w14:paraId="72D14AB7" w14:textId="77777777" w:rsidR="00063A29" w:rsidRPr="008D22C5" w:rsidRDefault="00063A29" w:rsidP="00063A29">
      <w:pPr>
        <w:pStyle w:val="ListParagraph"/>
        <w:numPr>
          <w:ilvl w:val="0"/>
          <w:numId w:val="3"/>
        </w:numPr>
        <w:snapToGrid w:val="0"/>
        <w:spacing w:after="120"/>
        <w:contextualSpacing w:val="0"/>
        <w:jc w:val="both"/>
        <w:rPr>
          <w:rFonts w:ascii="Times New Roman" w:hAnsi="Times New Roman" w:cs="Times New Roman"/>
        </w:rPr>
      </w:pPr>
      <w:r w:rsidRPr="008D22C5">
        <w:rPr>
          <w:rFonts w:ascii="Times New Roman" w:hAnsi="Times New Roman" w:cs="Times New Roman"/>
        </w:rPr>
        <w:t>«Информационное письмо о рекомендациях по раскрытию публичными акционерными обществами нефинансовой информации, связанной с деятельностью таких обществ от 12.07.2021 № ИН-06-28/49» 2021. - URL: https://www.cbr.ru/StaticHtml/File/117620/20210712_in-06-28_49.pdf.</w:t>
      </w:r>
    </w:p>
    <w:p w14:paraId="622C3847" w14:textId="77777777" w:rsidR="00063A29" w:rsidRPr="00063A29" w:rsidRDefault="00063A29" w:rsidP="00063A29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5577E7EA" w14:textId="77777777" w:rsidR="00063A29" w:rsidRPr="003B36B3" w:rsidRDefault="00063A29" w:rsidP="001A0FB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sectPr w:rsidR="00063A29" w:rsidRPr="003B3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E034E"/>
    <w:multiLevelType w:val="hybridMultilevel"/>
    <w:tmpl w:val="CEC88B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51C28"/>
    <w:multiLevelType w:val="multilevel"/>
    <w:tmpl w:val="A8A8A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547A8F"/>
    <w:multiLevelType w:val="hybridMultilevel"/>
    <w:tmpl w:val="01D6E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D79"/>
    <w:multiLevelType w:val="hybridMultilevel"/>
    <w:tmpl w:val="23B67F14"/>
    <w:lvl w:ilvl="0" w:tplc="33E89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6B3"/>
    <w:rsid w:val="00063A29"/>
    <w:rsid w:val="001A0FB0"/>
    <w:rsid w:val="003B36B3"/>
    <w:rsid w:val="004037FE"/>
    <w:rsid w:val="006953C8"/>
    <w:rsid w:val="007527A2"/>
    <w:rsid w:val="007B519C"/>
    <w:rsid w:val="008D22C5"/>
    <w:rsid w:val="00CC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18CC0DB"/>
  <w15:chartTrackingRefBased/>
  <w15:docId w15:val="{58C063D5-5A05-4F4C-94B6-2AEAE594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B36B3"/>
  </w:style>
  <w:style w:type="paragraph" w:styleId="NormalWeb">
    <w:name w:val="Normal (Web)"/>
    <w:basedOn w:val="Normal"/>
    <w:uiPriority w:val="99"/>
    <w:semiHidden/>
    <w:unhideWhenUsed/>
    <w:rsid w:val="003B36B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ListParagraph">
    <w:name w:val="List Paragraph"/>
    <w:basedOn w:val="Normal"/>
    <w:uiPriority w:val="34"/>
    <w:qFormat/>
    <w:rsid w:val="00063A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B51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51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51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1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51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5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EEE2006OfficeOnline.xsl" StyleName="IEEE" Version="2006">
  <b:Source>
    <b:Tag>Инф211</b:Tag>
    <b:SourceType>DocumentFromInternetSite</b:SourceType>
    <b:Guid>{C54DE950-C3EB-184C-AD9A-06708A1372F8}</b:Guid>
    <b:Title>Информационное письмо о рекомендациях по раскрытию публичными акционерными обществами нефинансовой информации, связанной с деятельностью таких обществ от 12.07.2021 № ИН-06-28/49</b:Title>
    <b:URL>https://www.cbr.ru/StaticHtml/File/117620/20210712_in-06-28_49.pdf</b:URL>
    <b:Year>2021</b:Year>
    <b:RefOrder>12</b:RefOrder>
  </b:Source>
</b:Sources>
</file>

<file path=customXml/itemProps1.xml><?xml version="1.0" encoding="utf-8"?>
<ds:datastoreItem xmlns:ds="http://schemas.openxmlformats.org/officeDocument/2006/customXml" ds:itemID="{7E29C93F-B761-7A4C-BF61-D00A703A2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Safronova</dc:creator>
  <cp:keywords/>
  <dc:description/>
  <cp:lastModifiedBy>Russia-OECD Center</cp:lastModifiedBy>
  <cp:revision>9</cp:revision>
  <dcterms:created xsi:type="dcterms:W3CDTF">2024-03-12T19:30:00Z</dcterms:created>
  <dcterms:modified xsi:type="dcterms:W3CDTF">2024-03-13T09:38:00Z</dcterms:modified>
</cp:coreProperties>
</file>