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C09D" w14:textId="3ADE19BD" w:rsidR="006C4EC2" w:rsidRDefault="006C4EC2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80">
        <w:rPr>
          <w:rFonts w:ascii="Times New Roman" w:hAnsi="Times New Roman" w:cs="Times New Roman"/>
          <w:sz w:val="28"/>
          <w:szCs w:val="28"/>
        </w:rPr>
        <w:t>УДК</w:t>
      </w:r>
      <w:r w:rsidR="00821C55">
        <w:rPr>
          <w:rFonts w:ascii="Times New Roman" w:hAnsi="Times New Roman" w:cs="Times New Roman"/>
          <w:sz w:val="28"/>
          <w:szCs w:val="28"/>
        </w:rPr>
        <w:t xml:space="preserve"> </w:t>
      </w:r>
      <w:r w:rsidR="00821C55" w:rsidRPr="00821C55">
        <w:rPr>
          <w:rFonts w:ascii="Times New Roman" w:hAnsi="Times New Roman" w:cs="Times New Roman"/>
          <w:sz w:val="28"/>
          <w:szCs w:val="28"/>
        </w:rPr>
        <w:t>330.322.4ра</w:t>
      </w:r>
      <w:r w:rsidRPr="00C71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C1BA1" w14:textId="77777777" w:rsidR="006C4EC2" w:rsidRDefault="006C4EC2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О.А.</w:t>
      </w:r>
    </w:p>
    <w:p w14:paraId="7BDCCC19" w14:textId="77777777" w:rsidR="006C4EC2" w:rsidRDefault="006C4EC2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группы 46ИС-23</w:t>
      </w:r>
    </w:p>
    <w:p w14:paraId="608EC867" w14:textId="77777777" w:rsidR="006C4EC2" w:rsidRDefault="006C4EC2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80">
        <w:rPr>
          <w:rFonts w:ascii="Times New Roman" w:hAnsi="Times New Roman" w:cs="Times New Roman"/>
          <w:sz w:val="28"/>
          <w:szCs w:val="28"/>
        </w:rPr>
        <w:t>Российская Федерация, Санкт-Петербург Международный банковский институт имени Анатолия Собчака</w:t>
      </w:r>
    </w:p>
    <w:p w14:paraId="60AAF1DB" w14:textId="77777777" w:rsidR="006C4EC2" w:rsidRDefault="006C4EC2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88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190D419E" w14:textId="09C49880" w:rsidR="006C4EC2" w:rsidRPr="000F30C1" w:rsidRDefault="006C4EC2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EC2">
        <w:rPr>
          <w:rFonts w:ascii="Times New Roman" w:hAnsi="Times New Roman" w:cs="Times New Roman"/>
          <w:sz w:val="28"/>
          <w:szCs w:val="28"/>
        </w:rPr>
        <w:t>В 2023 г</w:t>
      </w:r>
      <w:r w:rsidR="003E3139">
        <w:rPr>
          <w:rFonts w:ascii="Times New Roman" w:hAnsi="Times New Roman" w:cs="Times New Roman"/>
          <w:sz w:val="28"/>
          <w:szCs w:val="28"/>
        </w:rPr>
        <w:t xml:space="preserve">оду </w:t>
      </w:r>
      <w:r w:rsidRPr="006C4EC2">
        <w:rPr>
          <w:rFonts w:ascii="Times New Roman" w:hAnsi="Times New Roman" w:cs="Times New Roman"/>
          <w:sz w:val="28"/>
          <w:szCs w:val="28"/>
        </w:rPr>
        <w:t xml:space="preserve">ESG-повестка </w:t>
      </w:r>
      <w:r w:rsidR="003E3139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6C4EC2">
        <w:rPr>
          <w:rFonts w:ascii="Times New Roman" w:hAnsi="Times New Roman" w:cs="Times New Roman"/>
          <w:sz w:val="28"/>
          <w:szCs w:val="28"/>
        </w:rPr>
        <w:t>оставалась актуальной, несмотря на давление геополитических рисков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30C1">
        <w:rPr>
          <w:rFonts w:ascii="Times New Roman" w:hAnsi="Times New Roman" w:cs="Times New Roman"/>
          <w:sz w:val="28"/>
          <w:szCs w:val="28"/>
        </w:rPr>
        <w:t xml:space="preserve"> В представленной работе первостепенной целью является </w:t>
      </w:r>
      <w:r>
        <w:rPr>
          <w:rFonts w:ascii="Times New Roman" w:hAnsi="Times New Roman" w:cs="Times New Roman"/>
          <w:sz w:val="28"/>
          <w:szCs w:val="28"/>
        </w:rPr>
        <w:t>анализ рынка устойчивого финансирования</w:t>
      </w:r>
      <w:r w:rsidRPr="000F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0F30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30C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и оценка тенденций и перспектив развития</w:t>
      </w:r>
      <w:r w:rsidRPr="000F30C1">
        <w:rPr>
          <w:rFonts w:ascii="Times New Roman" w:hAnsi="Times New Roman" w:cs="Times New Roman"/>
          <w:sz w:val="28"/>
          <w:szCs w:val="28"/>
        </w:rPr>
        <w:t>.</w:t>
      </w:r>
    </w:p>
    <w:p w14:paraId="2C9B02D2" w14:textId="77777777" w:rsidR="006C4EC2" w:rsidRDefault="006C4EC2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80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0F30C1">
        <w:rPr>
          <w:rFonts w:ascii="Times New Roman" w:hAnsi="Times New Roman" w:cs="Times New Roman"/>
          <w:sz w:val="28"/>
          <w:szCs w:val="28"/>
        </w:rPr>
        <w:t>: зелёные облигации, устойчивое развитие, экология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80F">
        <w:t xml:space="preserve"> </w:t>
      </w:r>
      <w:r w:rsidRPr="00A5080F">
        <w:rPr>
          <w:rFonts w:ascii="Times New Roman" w:hAnsi="Times New Roman" w:cs="Times New Roman"/>
          <w:sz w:val="28"/>
          <w:szCs w:val="28"/>
        </w:rPr>
        <w:t>ESG-повестк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30C1">
        <w:rPr>
          <w:rFonts w:ascii="Times New Roman" w:hAnsi="Times New Roman" w:cs="Times New Roman"/>
          <w:sz w:val="28"/>
          <w:szCs w:val="28"/>
        </w:rPr>
        <w:t>.</w:t>
      </w:r>
    </w:p>
    <w:p w14:paraId="6B671A6D" w14:textId="61F66456" w:rsidR="00A17099" w:rsidRPr="006C4EC2" w:rsidRDefault="006C4EC2" w:rsidP="006C4EC2">
      <w:pPr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880">
        <w:rPr>
          <w:rFonts w:ascii="Times New Roman" w:hAnsi="Times New Roman" w:cs="Times New Roman"/>
          <w:b/>
          <w:bCs/>
          <w:sz w:val="28"/>
          <w:szCs w:val="28"/>
        </w:rPr>
        <w:t>Зеленые облигации:</w:t>
      </w:r>
      <w:r w:rsidRPr="006C4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880">
        <w:rPr>
          <w:rFonts w:ascii="Times New Roman" w:hAnsi="Times New Roman" w:cs="Times New Roman"/>
          <w:b/>
          <w:bCs/>
          <w:sz w:val="28"/>
          <w:szCs w:val="28"/>
        </w:rPr>
        <w:t>главные итоги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71880">
        <w:rPr>
          <w:rFonts w:ascii="Times New Roman" w:hAnsi="Times New Roman" w:cs="Times New Roman"/>
          <w:b/>
          <w:bCs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тенденции</w:t>
      </w:r>
    </w:p>
    <w:p w14:paraId="120E4073" w14:textId="6B22E559" w:rsidR="006C4EC2" w:rsidRDefault="00E458CA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C4EC2">
        <w:rPr>
          <w:rFonts w:ascii="Times New Roman" w:hAnsi="Times New Roman" w:cs="Times New Roman"/>
          <w:sz w:val="28"/>
          <w:szCs w:val="28"/>
        </w:rPr>
        <w:t xml:space="preserve">Повестка ESG в России </w:t>
      </w:r>
      <w:r w:rsidR="00816026">
        <w:rPr>
          <w:rFonts w:ascii="Times New Roman" w:hAnsi="Times New Roman" w:cs="Times New Roman"/>
          <w:sz w:val="28"/>
          <w:szCs w:val="28"/>
        </w:rPr>
        <w:t>продолжает быть актуальной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. При этом 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 xml:space="preserve">фокус с 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>международны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 xml:space="preserve">х 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>рынк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 xml:space="preserve">ов 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>и бизнес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 xml:space="preserve">а сдвинулся в сторону 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>социально-экологически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 приоритет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>ов, к которым у государства на текущий момент наблюдается больший интерес, который проявляется так же на уровне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 региональной и муниципальной власти. 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 xml:space="preserve">В связи с новыми приоритетами </w:t>
      </w:r>
      <w:r w:rsidR="00816026" w:rsidRPr="00816026">
        <w:rPr>
          <w:rFonts w:ascii="Times New Roman" w:hAnsi="Times New Roman" w:cs="Times New Roman"/>
          <w:color w:val="111111"/>
          <w:sz w:val="28"/>
          <w:szCs w:val="28"/>
        </w:rPr>
        <w:t xml:space="preserve">ESG-повестки 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 xml:space="preserve">в России 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>2022–2023 го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 xml:space="preserve">дах происходит 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>развити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 своего собственного подхода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 xml:space="preserve"> и направлений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 с учетом национальной специфики.</w:t>
      </w:r>
      <w:r w:rsidR="006C4EC2"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3CEA7145" w14:textId="68D5F74F" w:rsidR="006C4EC2" w:rsidRDefault="006C4EC2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Целью работы является анализ рынка устойчивого </w:t>
      </w:r>
      <w:r>
        <w:rPr>
          <w:rFonts w:ascii="Times New Roman" w:hAnsi="Times New Roman" w:cs="Times New Roman"/>
          <w:color w:val="111111"/>
          <w:sz w:val="28"/>
          <w:szCs w:val="28"/>
        </w:rPr>
        <w:t>финансирования в России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 за 2023 г. и оценка тенденций и перспектив развития. </w:t>
      </w:r>
    </w:p>
    <w:p w14:paraId="6299A234" w14:textId="592DB69D" w:rsidR="006C4EC2" w:rsidRPr="006C4EC2" w:rsidRDefault="006C4EC2" w:rsidP="006C4EC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C4EC2">
        <w:rPr>
          <w:rFonts w:ascii="Times New Roman" w:hAnsi="Times New Roman" w:cs="Times New Roman"/>
          <w:color w:val="111111"/>
          <w:sz w:val="28"/>
          <w:szCs w:val="28"/>
        </w:rPr>
        <w:t>При написании</w:t>
      </w:r>
      <w:r w:rsidR="005D6118">
        <w:rPr>
          <w:rFonts w:ascii="Times New Roman" w:hAnsi="Times New Roman" w:cs="Times New Roman"/>
          <w:color w:val="111111"/>
          <w:sz w:val="28"/>
          <w:szCs w:val="28"/>
        </w:rPr>
        <w:t xml:space="preserve"> работы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0F96">
        <w:rPr>
          <w:rFonts w:ascii="Times New Roman" w:hAnsi="Times New Roman" w:cs="Times New Roman"/>
          <w:color w:val="111111"/>
          <w:sz w:val="28"/>
          <w:szCs w:val="28"/>
        </w:rPr>
        <w:t xml:space="preserve">использовались 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>следующие методы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исследования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593AD7">
        <w:rPr>
          <w:rFonts w:ascii="Times New Roman" w:hAnsi="Times New Roman" w:cs="Times New Roman"/>
          <w:color w:val="111111"/>
          <w:sz w:val="28"/>
          <w:szCs w:val="28"/>
        </w:rPr>
        <w:t xml:space="preserve">синтез, </w:t>
      </w:r>
      <w:r w:rsidRPr="006C4EC2">
        <w:rPr>
          <w:rFonts w:ascii="Times New Roman" w:hAnsi="Times New Roman" w:cs="Times New Roman"/>
          <w:color w:val="111111"/>
          <w:sz w:val="28"/>
          <w:szCs w:val="28"/>
        </w:rPr>
        <w:t>анализ, обобщение научных исследований и статей, визуализация данных</w:t>
      </w:r>
      <w:r w:rsidR="00593AD7">
        <w:t xml:space="preserve">, </w:t>
      </w:r>
      <w:r w:rsidR="00593AD7" w:rsidRPr="00593AD7">
        <w:rPr>
          <w:rFonts w:ascii="Times New Roman" w:hAnsi="Times New Roman" w:cs="Times New Roman"/>
          <w:color w:val="111111"/>
          <w:sz w:val="28"/>
          <w:szCs w:val="28"/>
        </w:rPr>
        <w:t>сравнение</w:t>
      </w:r>
      <w:r w:rsidR="00593AD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4331EFBE" w14:textId="465A5D45" w:rsidR="00174F1F" w:rsidRPr="006C4EC2" w:rsidRDefault="00A7339E" w:rsidP="00821C55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Самым распространенным инструментом </w:t>
      </w:r>
      <w:r w:rsidRPr="00A7339E">
        <w:rPr>
          <w:rFonts w:ascii="Times New Roman" w:hAnsi="Times New Roman" w:cs="Times New Roman"/>
          <w:color w:val="111111"/>
          <w:sz w:val="28"/>
          <w:szCs w:val="28"/>
        </w:rPr>
        <w:t>ESG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-финансирования </w:t>
      </w:r>
      <w:r w:rsidR="00E458CA" w:rsidRPr="006C4EC2">
        <w:rPr>
          <w:rFonts w:ascii="Times New Roman" w:hAnsi="Times New Roman" w:cs="Times New Roman"/>
          <w:color w:val="111111"/>
          <w:sz w:val="28"/>
          <w:szCs w:val="28"/>
        </w:rPr>
        <w:t>явля</w:t>
      </w:r>
      <w:r>
        <w:rPr>
          <w:rFonts w:ascii="Times New Roman" w:hAnsi="Times New Roman" w:cs="Times New Roman"/>
          <w:color w:val="111111"/>
          <w:sz w:val="28"/>
          <w:szCs w:val="28"/>
        </w:rPr>
        <w:t>ются</w:t>
      </w:r>
      <w:r w:rsidR="00E458CA"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 «зелены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E458CA" w:rsidRPr="006C4EC2">
        <w:rPr>
          <w:rFonts w:ascii="Times New Roman" w:hAnsi="Times New Roman" w:cs="Times New Roman"/>
          <w:color w:val="111111"/>
          <w:sz w:val="28"/>
          <w:szCs w:val="28"/>
        </w:rPr>
        <w:t>» облигаци</w:t>
      </w: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E458CA" w:rsidRPr="006C4EC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821C55" w:rsidRPr="00821C55">
        <w:rPr>
          <w:rFonts w:ascii="Times New Roman" w:hAnsi="Times New Roman" w:cs="Times New Roman"/>
          <w:color w:val="111111"/>
          <w:sz w:val="28"/>
          <w:szCs w:val="28"/>
        </w:rPr>
        <w:t>«Зеленые облигации – это облигации, поступления от размещения которых направляются на финансирование или рефинансирование (полное или частичное) новых и/или существующих зеленых проектов и которые соответствуют одному или нескольким стандартам в области зеленого финансирования</w:t>
      </w:r>
      <w:r w:rsidR="00282AAB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81602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58CA" w:rsidRPr="006C4EC2">
        <w:rPr>
          <w:rFonts w:ascii="Times New Roman" w:hAnsi="Times New Roman" w:cs="Times New Roman"/>
          <w:color w:val="111111"/>
          <w:sz w:val="28"/>
          <w:szCs w:val="28"/>
        </w:rPr>
        <w:t>[1].</w:t>
      </w:r>
    </w:p>
    <w:p w14:paraId="5C873837" w14:textId="2C18E8DA" w:rsidR="00593AD7" w:rsidRDefault="005D6118" w:rsidP="00593AD7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D6118">
        <w:rPr>
          <w:rFonts w:ascii="Times New Roman" w:hAnsi="Times New Roman" w:cs="Times New Roman"/>
          <w:color w:val="111111"/>
          <w:sz w:val="28"/>
          <w:szCs w:val="28"/>
        </w:rPr>
        <w:t>ESG-</w:t>
      </w:r>
      <w:r w:rsidR="004B0D8F">
        <w:rPr>
          <w:rFonts w:ascii="Times New Roman" w:hAnsi="Times New Roman" w:cs="Times New Roman"/>
          <w:color w:val="111111"/>
          <w:sz w:val="28"/>
          <w:szCs w:val="28"/>
        </w:rPr>
        <w:t>финансирование,</w:t>
      </w:r>
      <w:r w:rsidRPr="005D611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0D8F">
        <w:rPr>
          <w:rFonts w:ascii="Times New Roman" w:hAnsi="Times New Roman" w:cs="Times New Roman"/>
          <w:color w:val="111111"/>
          <w:sz w:val="28"/>
          <w:szCs w:val="28"/>
        </w:rPr>
        <w:t xml:space="preserve">в частности «зеленые» облигации в России </w:t>
      </w:r>
      <w:r w:rsidRPr="005D6118">
        <w:rPr>
          <w:rFonts w:ascii="Times New Roman" w:hAnsi="Times New Roman" w:cs="Times New Roman"/>
          <w:color w:val="111111"/>
          <w:sz w:val="28"/>
          <w:szCs w:val="28"/>
        </w:rPr>
        <w:t>продолжа</w:t>
      </w:r>
      <w:r w:rsidR="004B0D8F">
        <w:rPr>
          <w:rFonts w:ascii="Times New Roman" w:hAnsi="Times New Roman" w:cs="Times New Roman"/>
          <w:color w:val="111111"/>
          <w:sz w:val="28"/>
          <w:szCs w:val="28"/>
        </w:rPr>
        <w:t>ю</w:t>
      </w:r>
      <w:r w:rsidRPr="005D6118">
        <w:rPr>
          <w:rFonts w:ascii="Times New Roman" w:hAnsi="Times New Roman" w:cs="Times New Roman"/>
          <w:color w:val="111111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активно </w:t>
      </w:r>
      <w:r w:rsidRPr="005D6118">
        <w:rPr>
          <w:rFonts w:ascii="Times New Roman" w:hAnsi="Times New Roman" w:cs="Times New Roman"/>
          <w:color w:val="111111"/>
          <w:sz w:val="28"/>
          <w:szCs w:val="28"/>
        </w:rPr>
        <w:t>развиваться</w:t>
      </w:r>
      <w:r w:rsidR="006D3D7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4B0D8F">
        <w:rPr>
          <w:rFonts w:ascii="Times New Roman" w:hAnsi="Times New Roman" w:cs="Times New Roman"/>
          <w:color w:val="111111"/>
          <w:sz w:val="28"/>
          <w:szCs w:val="28"/>
        </w:rPr>
        <w:t xml:space="preserve">в 2020 году начинается разработка методологии по зеленому финансированию в России, которая становится основой для 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начала </w:t>
      </w:r>
      <w:r w:rsidR="004B0D8F">
        <w:rPr>
          <w:rFonts w:ascii="Times New Roman" w:hAnsi="Times New Roman" w:cs="Times New Roman"/>
          <w:color w:val="111111"/>
          <w:sz w:val="28"/>
          <w:szCs w:val="28"/>
        </w:rPr>
        <w:t xml:space="preserve">работы 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Национальн</w:t>
      </w:r>
      <w:r w:rsidR="004B0D8F">
        <w:rPr>
          <w:rFonts w:ascii="Times New Roman" w:hAnsi="Times New Roman" w:cs="Times New Roman"/>
          <w:color w:val="111111"/>
          <w:sz w:val="28"/>
          <w:szCs w:val="28"/>
        </w:rPr>
        <w:t>ой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систем</w:t>
      </w:r>
      <w:r w:rsidR="004B0D8F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зеленого финансирования. </w:t>
      </w:r>
      <w:r w:rsidR="006D3D7E">
        <w:rPr>
          <w:rFonts w:ascii="Times New Roman" w:hAnsi="Times New Roman" w:cs="Times New Roman"/>
          <w:color w:val="111111"/>
          <w:sz w:val="28"/>
          <w:szCs w:val="28"/>
        </w:rPr>
        <w:t xml:space="preserve">Так же в 2020 году 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Банк</w:t>
      </w:r>
      <w:r w:rsidR="006D3D7E">
        <w:rPr>
          <w:rFonts w:ascii="Times New Roman" w:hAnsi="Times New Roman" w:cs="Times New Roman"/>
          <w:color w:val="111111"/>
          <w:sz w:val="28"/>
          <w:szCs w:val="28"/>
        </w:rPr>
        <w:t>ом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России </w:t>
      </w:r>
      <w:r w:rsidR="006D3D7E">
        <w:rPr>
          <w:rFonts w:ascii="Times New Roman" w:hAnsi="Times New Roman" w:cs="Times New Roman"/>
          <w:color w:val="111111"/>
          <w:sz w:val="28"/>
          <w:szCs w:val="28"/>
        </w:rPr>
        <w:t>разработан</w:t>
      </w:r>
      <w:r w:rsidR="006D3D7E" w:rsidRPr="006D3D7E">
        <w:t xml:space="preserve"> </w:t>
      </w:r>
      <w:r w:rsidR="006D3D7E" w:rsidRPr="006D3D7E">
        <w:rPr>
          <w:rFonts w:ascii="Times New Roman" w:hAnsi="Times New Roman" w:cs="Times New Roman"/>
          <w:color w:val="111111"/>
          <w:sz w:val="28"/>
          <w:szCs w:val="28"/>
        </w:rPr>
        <w:t>регуляторный</w:t>
      </w:r>
      <w:r w:rsidR="006D3D7E">
        <w:t xml:space="preserve"> </w:t>
      </w:r>
      <w:r w:rsidR="006D3D7E" w:rsidRPr="006D3D7E">
        <w:rPr>
          <w:rFonts w:ascii="Times New Roman" w:hAnsi="Times New Roman" w:cs="Times New Roman"/>
          <w:color w:val="111111"/>
          <w:sz w:val="28"/>
          <w:szCs w:val="28"/>
        </w:rPr>
        <w:t>механизм,</w:t>
      </w:r>
      <w:r w:rsidR="006D3D7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3D7E" w:rsidRPr="006D3D7E">
        <w:rPr>
          <w:rFonts w:ascii="Times New Roman" w:hAnsi="Times New Roman" w:cs="Times New Roman"/>
          <w:color w:val="111111"/>
          <w:sz w:val="28"/>
          <w:szCs w:val="28"/>
        </w:rPr>
        <w:t>регулирующие</w:t>
      </w:r>
      <w:r w:rsidR="006D3D7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3D7E" w:rsidRPr="006D3D7E">
        <w:rPr>
          <w:rFonts w:ascii="Times New Roman" w:hAnsi="Times New Roman" w:cs="Times New Roman"/>
          <w:color w:val="111111"/>
          <w:sz w:val="28"/>
          <w:szCs w:val="28"/>
        </w:rPr>
        <w:t>процедуру</w:t>
      </w:r>
      <w:r w:rsidR="006D3D7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3D7E" w:rsidRPr="006D3D7E">
        <w:rPr>
          <w:rFonts w:ascii="Times New Roman" w:hAnsi="Times New Roman" w:cs="Times New Roman"/>
          <w:color w:val="111111"/>
          <w:sz w:val="28"/>
          <w:szCs w:val="28"/>
        </w:rPr>
        <w:t>эмиссии</w:t>
      </w:r>
      <w:r w:rsidR="006D3D7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3D7E" w:rsidRPr="006D3D7E">
        <w:rPr>
          <w:rFonts w:ascii="Times New Roman" w:hAnsi="Times New Roman" w:cs="Times New Roman"/>
          <w:color w:val="111111"/>
          <w:sz w:val="28"/>
          <w:szCs w:val="28"/>
        </w:rPr>
        <w:t>ценных</w:t>
      </w:r>
      <w:r w:rsidR="006D3D7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3D7E" w:rsidRPr="006D3D7E">
        <w:rPr>
          <w:rFonts w:ascii="Times New Roman" w:hAnsi="Times New Roman" w:cs="Times New Roman"/>
          <w:color w:val="111111"/>
          <w:sz w:val="28"/>
          <w:szCs w:val="28"/>
        </w:rPr>
        <w:t>бумаг</w:t>
      </w:r>
      <w:r w:rsidR="006D3D7E" w:rsidRPr="006D3D7E">
        <w:t xml:space="preserve"> </w:t>
      </w:r>
      <w:r w:rsidR="006D3D7E" w:rsidRPr="006D3D7E"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</w:t>
      </w:r>
      <w:r w:rsidR="006D3D7E" w:rsidRPr="006D3D7E">
        <w:rPr>
          <w:rFonts w:ascii="Times New Roman" w:hAnsi="Times New Roman" w:cs="Times New Roman"/>
          <w:color w:val="111111"/>
          <w:sz w:val="28"/>
          <w:szCs w:val="28"/>
        </w:rPr>
        <w:lastRenderedPageBreak/>
        <w:t>международными ESG-стандартами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4902CC">
        <w:rPr>
          <w:rFonts w:ascii="Times New Roman" w:hAnsi="Times New Roman" w:cs="Times New Roman"/>
          <w:color w:val="111111"/>
          <w:sz w:val="28"/>
          <w:szCs w:val="28"/>
        </w:rPr>
        <w:t xml:space="preserve"> В том же году свою работу начали р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ейтинговые агентства</w:t>
      </w:r>
      <w:r w:rsidR="004902CC">
        <w:rPr>
          <w:rFonts w:ascii="Times New Roman" w:hAnsi="Times New Roman" w:cs="Times New Roman"/>
          <w:color w:val="111111"/>
          <w:sz w:val="28"/>
          <w:szCs w:val="28"/>
        </w:rPr>
        <w:t xml:space="preserve">. Разработаны 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Национальный стандарт по </w:t>
      </w:r>
      <w:r w:rsidR="004902CC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зеленому</w:t>
      </w:r>
      <w:r w:rsidR="004902CC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финансированию</w:t>
      </w:r>
      <w:r w:rsidR="004902CC">
        <w:rPr>
          <w:rFonts w:ascii="Times New Roman" w:hAnsi="Times New Roman" w:cs="Times New Roman"/>
          <w:color w:val="111111"/>
          <w:sz w:val="28"/>
          <w:szCs w:val="28"/>
        </w:rPr>
        <w:t xml:space="preserve"> и «зеленая» таксономия. </w:t>
      </w:r>
    </w:p>
    <w:p w14:paraId="726C8443" w14:textId="099A4C77" w:rsidR="00593AD7" w:rsidRPr="004D0F26" w:rsidRDefault="004902CC" w:rsidP="004D0F26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Следует отметить, что в 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2022 года в России введены новые финансовые инструменты в области</w:t>
      </w:r>
      <w:r w:rsidR="00A64C2A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устойчивого развития, включая:</w:t>
      </w:r>
      <w:r w:rsidR="00593AD7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адаптационные облигации</w:t>
      </w:r>
      <w:r w:rsidR="004D0F26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593AD7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облигации, связанные с целями устойчивого развития</w:t>
      </w:r>
      <w:r w:rsidR="00593AD7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и облигации климатического перехода [</w:t>
      </w:r>
      <w:r w:rsidR="00593AD7" w:rsidRPr="00593AD7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E458CA" w:rsidRPr="00593AD7">
        <w:rPr>
          <w:rFonts w:ascii="Times New Roman" w:hAnsi="Times New Roman" w:cs="Times New Roman"/>
          <w:color w:val="111111"/>
          <w:sz w:val="28"/>
          <w:szCs w:val="28"/>
        </w:rPr>
        <w:t>].</w:t>
      </w:r>
      <w:r w:rsidR="004D0F2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51F18D9C" w14:textId="49DDC8CC" w:rsidR="00593AD7" w:rsidRDefault="00593AD7" w:rsidP="00593AD7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Проанализируем о</w:t>
      </w:r>
      <w:r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бъем выпуска облигаций в формате устойчивого развития </w:t>
      </w:r>
      <w:r w:rsidR="00836113">
        <w:rPr>
          <w:rFonts w:ascii="Times New Roman" w:hAnsi="Times New Roman" w:cs="Times New Roman"/>
          <w:color w:val="111111"/>
          <w:sz w:val="28"/>
          <w:szCs w:val="28"/>
        </w:rPr>
        <w:t>за</w:t>
      </w:r>
      <w:r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период с 2018-2023 года</w:t>
      </w:r>
      <w:r w:rsidR="004D0F26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338CFE1D" w14:textId="13922251" w:rsidR="00197DC6" w:rsidRDefault="00197DC6" w:rsidP="00593AD7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Подводя итоги 2022 года, можно отметить, 5 российских эмитентов </w:t>
      </w:r>
      <w:r w:rsidR="00593AD7">
        <w:rPr>
          <w:rFonts w:ascii="Times New Roman" w:hAnsi="Times New Roman" w:cs="Times New Roman"/>
          <w:color w:val="111111"/>
          <w:sz w:val="28"/>
          <w:szCs w:val="28"/>
        </w:rPr>
        <w:t xml:space="preserve">за год </w:t>
      </w:r>
      <w:r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осуществили 7 выпусков зеленых облигаций на сумму 106 млрд. руб. (рисунок </w:t>
      </w:r>
      <w:r w:rsidR="00593AD7"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), что меньше </w:t>
      </w:r>
      <w:r w:rsidR="00593AD7">
        <w:rPr>
          <w:rFonts w:ascii="Times New Roman" w:hAnsi="Times New Roman" w:cs="Times New Roman"/>
          <w:color w:val="111111"/>
          <w:sz w:val="28"/>
          <w:szCs w:val="28"/>
        </w:rPr>
        <w:t>на 50 %</w:t>
      </w:r>
      <w:r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по сравнению с 2021 годом. Объем выпуска в 2021 году составил </w:t>
      </w:r>
      <w:r w:rsidR="00593AD7">
        <w:rPr>
          <w:rFonts w:ascii="Times New Roman" w:hAnsi="Times New Roman" w:cs="Times New Roman"/>
          <w:color w:val="111111"/>
          <w:sz w:val="28"/>
          <w:szCs w:val="28"/>
        </w:rPr>
        <w:t>212</w:t>
      </w:r>
      <w:r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млрд. руб.</w:t>
      </w:r>
    </w:p>
    <w:p w14:paraId="683B3A6A" w14:textId="77777777" w:rsidR="00821C55" w:rsidRPr="00593AD7" w:rsidRDefault="00821C55" w:rsidP="00593AD7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E9E59A5" w14:textId="77777777" w:rsidR="00073210" w:rsidRDefault="00073210" w:rsidP="00073210">
      <w:pPr>
        <w:spacing w:line="288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38E58E00" wp14:editId="3F21ED1C">
            <wp:extent cx="6057900" cy="4091940"/>
            <wp:effectExtent l="0" t="0" r="0" b="381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84DA965-3137-4A92-A7D5-4690EC80A7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39AFE9D" w14:textId="02F9443F" w:rsidR="00073210" w:rsidRPr="00073210" w:rsidRDefault="00073210" w:rsidP="00073210">
      <w:pPr>
        <w:pStyle w:val="doctext"/>
        <w:shd w:val="clear" w:color="auto" w:fill="FFFFFF"/>
        <w:jc w:val="center"/>
        <w:rPr>
          <w:sz w:val="28"/>
          <w:szCs w:val="28"/>
        </w:rPr>
      </w:pPr>
      <w:r w:rsidRPr="00A64C2A">
        <w:rPr>
          <w:sz w:val="28"/>
          <w:szCs w:val="28"/>
        </w:rPr>
        <w:t>Рисунок 1 - Объем выпуска облигаций в формате устойчивого развития в период с 2018-2023 года, млрд руб.</w:t>
      </w:r>
    </w:p>
    <w:p w14:paraId="522F0B6B" w14:textId="38EFF8E9" w:rsidR="00073210" w:rsidRDefault="00106A7F" w:rsidP="00073210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Согласно прогнозным данным, представленным </w:t>
      </w:r>
      <w:r w:rsidRPr="00106A7F">
        <w:rPr>
          <w:rFonts w:ascii="Times New Roman" w:hAnsi="Times New Roman" w:cs="Times New Roman"/>
          <w:color w:val="111111"/>
          <w:sz w:val="28"/>
          <w:szCs w:val="28"/>
        </w:rPr>
        <w:t>Аналитическ</w:t>
      </w:r>
      <w:r>
        <w:rPr>
          <w:rFonts w:ascii="Times New Roman" w:hAnsi="Times New Roman" w:cs="Times New Roman"/>
          <w:color w:val="111111"/>
          <w:sz w:val="28"/>
          <w:szCs w:val="28"/>
        </w:rPr>
        <w:t>им</w:t>
      </w:r>
      <w:r w:rsidRPr="00106A7F">
        <w:rPr>
          <w:rFonts w:ascii="Times New Roman" w:hAnsi="Times New Roman" w:cs="Times New Roman"/>
          <w:color w:val="111111"/>
          <w:sz w:val="28"/>
          <w:szCs w:val="28"/>
        </w:rPr>
        <w:t xml:space="preserve"> кредитн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ым </w:t>
      </w:r>
      <w:r w:rsidRPr="00106A7F">
        <w:rPr>
          <w:rFonts w:ascii="Times New Roman" w:hAnsi="Times New Roman" w:cs="Times New Roman"/>
          <w:color w:val="111111"/>
          <w:sz w:val="28"/>
          <w:szCs w:val="28"/>
        </w:rPr>
        <w:t>рейтингов</w:t>
      </w:r>
      <w:r>
        <w:rPr>
          <w:rFonts w:ascii="Times New Roman" w:hAnsi="Times New Roman" w:cs="Times New Roman"/>
          <w:color w:val="111111"/>
          <w:sz w:val="28"/>
          <w:szCs w:val="28"/>
        </w:rPr>
        <w:t>ым</w:t>
      </w:r>
      <w:r w:rsidRPr="00106A7F">
        <w:rPr>
          <w:rFonts w:ascii="Times New Roman" w:hAnsi="Times New Roman" w:cs="Times New Roman"/>
          <w:color w:val="111111"/>
          <w:sz w:val="28"/>
          <w:szCs w:val="28"/>
        </w:rPr>
        <w:t xml:space="preserve"> агентство</w:t>
      </w:r>
      <w:r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F90CE2">
        <w:rPr>
          <w:rFonts w:ascii="Times New Roman" w:hAnsi="Times New Roman" w:cs="Times New Roman"/>
          <w:color w:val="111111"/>
          <w:sz w:val="28"/>
          <w:szCs w:val="28"/>
        </w:rPr>
        <w:t xml:space="preserve"> (далее – АКРА)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06A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97DC6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объем размещений ESG-облигаций в России </w:t>
      </w:r>
      <w:r w:rsidR="00DA70A4">
        <w:rPr>
          <w:rFonts w:ascii="Times New Roman" w:hAnsi="Times New Roman" w:cs="Times New Roman"/>
          <w:color w:val="11111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составит 115 млрд. руб., что соответствует </w:t>
      </w:r>
      <w:r w:rsidR="00197DC6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97DC6" w:rsidRPr="00593AD7">
        <w:rPr>
          <w:rFonts w:ascii="Times New Roman" w:hAnsi="Times New Roman" w:cs="Times New Roman"/>
          <w:color w:val="111111"/>
          <w:sz w:val="28"/>
          <w:szCs w:val="28"/>
        </w:rPr>
        <w:lastRenderedPageBreak/>
        <w:t>уровн</w:t>
      </w:r>
      <w:r>
        <w:rPr>
          <w:rFonts w:ascii="Times New Roman" w:hAnsi="Times New Roman" w:cs="Times New Roman"/>
          <w:color w:val="111111"/>
          <w:sz w:val="28"/>
          <w:szCs w:val="28"/>
        </w:rPr>
        <w:t>ю</w:t>
      </w:r>
      <w:r w:rsidR="00197DC6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2022 года, но, если </w:t>
      </w:r>
      <w:r w:rsidR="00836113">
        <w:rPr>
          <w:rFonts w:ascii="Times New Roman" w:hAnsi="Times New Roman" w:cs="Times New Roman"/>
          <w:color w:val="111111"/>
          <w:sz w:val="28"/>
          <w:szCs w:val="28"/>
        </w:rPr>
        <w:t>учитывать</w:t>
      </w:r>
      <w:r w:rsidR="00197DC6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 сегмент национальных </w:t>
      </w:r>
      <w:r w:rsidR="00836113">
        <w:rPr>
          <w:rFonts w:ascii="Times New Roman" w:hAnsi="Times New Roman" w:cs="Times New Roman"/>
          <w:color w:val="111111"/>
          <w:sz w:val="28"/>
          <w:szCs w:val="28"/>
        </w:rPr>
        <w:t xml:space="preserve">проектов </w:t>
      </w:r>
      <w:r w:rsidR="00197DC6" w:rsidRPr="00593AD7">
        <w:rPr>
          <w:rFonts w:ascii="Times New Roman" w:hAnsi="Times New Roman" w:cs="Times New Roman"/>
          <w:color w:val="111111"/>
          <w:sz w:val="28"/>
          <w:szCs w:val="28"/>
        </w:rPr>
        <w:t>и адаптационных проектов Сектора устойчивого развития Мос</w:t>
      </w:r>
      <w:r w:rsidR="00836113">
        <w:rPr>
          <w:rFonts w:ascii="Times New Roman" w:hAnsi="Times New Roman" w:cs="Times New Roman"/>
          <w:color w:val="111111"/>
          <w:sz w:val="28"/>
          <w:szCs w:val="28"/>
        </w:rPr>
        <w:t xml:space="preserve">ковской </w:t>
      </w:r>
      <w:r w:rsidR="00197DC6" w:rsidRPr="00593AD7">
        <w:rPr>
          <w:rFonts w:ascii="Times New Roman" w:hAnsi="Times New Roman" w:cs="Times New Roman"/>
          <w:color w:val="111111"/>
          <w:sz w:val="28"/>
          <w:szCs w:val="28"/>
        </w:rPr>
        <w:t xml:space="preserve">биржи,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то объем размещений за 2023 год  </w:t>
      </w:r>
      <w:r w:rsidR="00197DC6" w:rsidRPr="00593AD7">
        <w:rPr>
          <w:rFonts w:ascii="Times New Roman" w:hAnsi="Times New Roman" w:cs="Times New Roman"/>
          <w:color w:val="111111"/>
          <w:sz w:val="28"/>
          <w:szCs w:val="28"/>
        </w:rPr>
        <w:t>превысит 160 млрд руб.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D0F26">
        <w:rPr>
          <w:rFonts w:ascii="Times New Roman" w:hAnsi="Times New Roman" w:cs="Times New Roman"/>
          <w:color w:val="111111"/>
          <w:sz w:val="28"/>
          <w:szCs w:val="28"/>
        </w:rPr>
        <w:t>С учетом этих данных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объем размещения за 2023 год превысит в 2 раза уровень 2022 года; но все равно будет ниже на 24 % рекордного по размещению 2021 года.  </w:t>
      </w:r>
    </w:p>
    <w:p w14:paraId="45C73D76" w14:textId="77777777" w:rsidR="00073210" w:rsidRDefault="00073210" w:rsidP="00073210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210">
        <w:rPr>
          <w:rFonts w:ascii="Times New Roman" w:hAnsi="Times New Roman" w:cs="Times New Roman"/>
          <w:sz w:val="28"/>
          <w:szCs w:val="28"/>
        </w:rPr>
        <w:t>Прогнозный суммарный выпуск</w:t>
      </w:r>
      <w:r w:rsidRPr="00197DC6">
        <w:rPr>
          <w:sz w:val="28"/>
          <w:szCs w:val="28"/>
        </w:rPr>
        <w:t xml:space="preserve"> </w:t>
      </w:r>
      <w:r w:rsidRPr="00073210">
        <w:rPr>
          <w:rFonts w:ascii="Times New Roman" w:hAnsi="Times New Roman" w:cs="Times New Roman"/>
          <w:sz w:val="28"/>
          <w:szCs w:val="28"/>
        </w:rPr>
        <w:t>зеленых облигаций за период 2018-2023 года составит 685 млрд. руб.</w:t>
      </w:r>
    </w:p>
    <w:p w14:paraId="575C7E73" w14:textId="60E4D4DE" w:rsidR="00106A7F" w:rsidRPr="00073210" w:rsidRDefault="003A375A" w:rsidP="00073210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210">
        <w:rPr>
          <w:rFonts w:ascii="Times New Roman" w:hAnsi="Times New Roman" w:cs="Times New Roman"/>
          <w:sz w:val="28"/>
          <w:szCs w:val="28"/>
        </w:rPr>
        <w:t xml:space="preserve">Что ожидает рынок устойчивого финансирования </w:t>
      </w:r>
      <w:r w:rsidR="00F90CE2" w:rsidRPr="00073210">
        <w:rPr>
          <w:rFonts w:ascii="Times New Roman" w:hAnsi="Times New Roman" w:cs="Times New Roman"/>
          <w:sz w:val="28"/>
          <w:szCs w:val="28"/>
        </w:rPr>
        <w:t xml:space="preserve">в </w:t>
      </w:r>
      <w:r w:rsidR="00106A7F" w:rsidRPr="00073210">
        <w:rPr>
          <w:rFonts w:ascii="Times New Roman" w:hAnsi="Times New Roman" w:cs="Times New Roman"/>
          <w:sz w:val="28"/>
          <w:szCs w:val="28"/>
        </w:rPr>
        <w:t>2024 год</w:t>
      </w:r>
      <w:r w:rsidR="00F90CE2" w:rsidRPr="00073210">
        <w:rPr>
          <w:rFonts w:ascii="Times New Roman" w:hAnsi="Times New Roman" w:cs="Times New Roman"/>
          <w:sz w:val="28"/>
          <w:szCs w:val="28"/>
        </w:rPr>
        <w:t>у</w:t>
      </w:r>
      <w:r w:rsidR="00106A7F">
        <w:rPr>
          <w:sz w:val="28"/>
          <w:szCs w:val="28"/>
        </w:rPr>
        <w:t xml:space="preserve">: </w:t>
      </w:r>
    </w:p>
    <w:p w14:paraId="0BB4CFAD" w14:textId="29FA0846" w:rsidR="00F90CE2" w:rsidRDefault="00F90CE2" w:rsidP="00073210">
      <w:pPr>
        <w:pStyle w:val="doctext"/>
        <w:numPr>
          <w:ilvl w:val="0"/>
          <w:numId w:val="3"/>
        </w:numPr>
        <w:shd w:val="clear" w:color="auto" w:fill="FFFFFF"/>
        <w:spacing w:before="0" w:beforeAutospacing="0"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  <w:r w:rsidRPr="00F90CE2">
        <w:rPr>
          <w:sz w:val="28"/>
          <w:szCs w:val="28"/>
        </w:rPr>
        <w:t>АКРА</w:t>
      </w:r>
      <w:r>
        <w:rPr>
          <w:sz w:val="28"/>
          <w:szCs w:val="28"/>
        </w:rPr>
        <w:t>:</w:t>
      </w:r>
      <w:r w:rsidRPr="00F90CE2"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</w:t>
      </w:r>
      <w:r w:rsidRPr="00F90CE2">
        <w:rPr>
          <w:sz w:val="28"/>
          <w:szCs w:val="28"/>
        </w:rPr>
        <w:t xml:space="preserve">новых размещений ESG-облигаций в 2024 году не превысит 220 млрд </w:t>
      </w:r>
      <w:proofErr w:type="spellStart"/>
      <w:r w:rsidRPr="00F90CE2">
        <w:rPr>
          <w:sz w:val="28"/>
          <w:szCs w:val="28"/>
        </w:rPr>
        <w:t>руб</w:t>
      </w:r>
      <w:proofErr w:type="spellEnd"/>
      <w:r w:rsidRPr="00F90CE2">
        <w:rPr>
          <w:sz w:val="28"/>
          <w:szCs w:val="28"/>
        </w:rPr>
        <w:t xml:space="preserve"> [</w:t>
      </w:r>
      <w:r>
        <w:rPr>
          <w:sz w:val="28"/>
          <w:szCs w:val="28"/>
        </w:rPr>
        <w:t>3</w:t>
      </w:r>
      <w:r w:rsidRPr="00F90CE2">
        <w:rPr>
          <w:sz w:val="28"/>
          <w:szCs w:val="28"/>
        </w:rPr>
        <w:t>].</w:t>
      </w:r>
      <w:r>
        <w:rPr>
          <w:sz w:val="28"/>
          <w:szCs w:val="28"/>
        </w:rPr>
        <w:t xml:space="preserve"> Прогноз основан на том, что </w:t>
      </w:r>
      <w:r w:rsidRPr="00F90CE2">
        <w:rPr>
          <w:sz w:val="28"/>
          <w:szCs w:val="28"/>
        </w:rPr>
        <w:t>в ближайш</w:t>
      </w:r>
      <w:r>
        <w:rPr>
          <w:sz w:val="28"/>
          <w:szCs w:val="28"/>
        </w:rPr>
        <w:t>е</w:t>
      </w:r>
      <w:r w:rsidR="00496FF5">
        <w:rPr>
          <w:sz w:val="28"/>
          <w:szCs w:val="28"/>
        </w:rPr>
        <w:t>м</w:t>
      </w:r>
      <w:r w:rsidRPr="00F90CE2">
        <w:rPr>
          <w:sz w:val="28"/>
          <w:szCs w:val="28"/>
        </w:rPr>
        <w:t xml:space="preserve"> </w:t>
      </w:r>
      <w:r w:rsidR="00496FF5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="00496FF5">
        <w:rPr>
          <w:sz w:val="28"/>
          <w:szCs w:val="28"/>
        </w:rPr>
        <w:t xml:space="preserve">маловероятно </w:t>
      </w:r>
      <w:r w:rsidRPr="00F90CE2">
        <w:rPr>
          <w:sz w:val="28"/>
          <w:szCs w:val="28"/>
        </w:rPr>
        <w:t>появление каких-либо льгот и</w:t>
      </w:r>
      <w:r w:rsidR="00496FF5">
        <w:rPr>
          <w:sz w:val="28"/>
          <w:szCs w:val="28"/>
        </w:rPr>
        <w:t xml:space="preserve">ли </w:t>
      </w:r>
      <w:r w:rsidRPr="00F90CE2">
        <w:rPr>
          <w:sz w:val="28"/>
          <w:szCs w:val="28"/>
        </w:rPr>
        <w:t>регуляторных стимулов для эмитентов и инвесторов ESG-облигаци</w:t>
      </w:r>
      <w:r w:rsidR="00496FF5">
        <w:rPr>
          <w:sz w:val="28"/>
          <w:szCs w:val="28"/>
        </w:rPr>
        <w:t>й</w:t>
      </w:r>
      <w:r w:rsidRPr="00F90CE2">
        <w:rPr>
          <w:sz w:val="28"/>
          <w:szCs w:val="28"/>
        </w:rPr>
        <w:t>.</w:t>
      </w:r>
    </w:p>
    <w:p w14:paraId="5CC16AE1" w14:textId="088DFE03" w:rsidR="00106A7F" w:rsidRPr="00F90CE2" w:rsidRDefault="00F90CE2" w:rsidP="00F90CE2">
      <w:pPr>
        <w:pStyle w:val="doctext"/>
        <w:numPr>
          <w:ilvl w:val="0"/>
          <w:numId w:val="3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F90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второй половине 2024 года </w:t>
      </w:r>
      <w:r w:rsidR="002806A4">
        <w:rPr>
          <w:sz w:val="28"/>
          <w:szCs w:val="28"/>
        </w:rPr>
        <w:t xml:space="preserve">можно </w:t>
      </w:r>
      <w:r w:rsidR="00106A7F" w:rsidRPr="00F90CE2">
        <w:rPr>
          <w:sz w:val="28"/>
          <w:szCs w:val="28"/>
        </w:rPr>
        <w:t>ожида</w:t>
      </w:r>
      <w:r w:rsidR="002806A4">
        <w:rPr>
          <w:sz w:val="28"/>
          <w:szCs w:val="28"/>
        </w:rPr>
        <w:t xml:space="preserve">ть </w:t>
      </w:r>
      <w:r w:rsidR="00106A7F" w:rsidRPr="00F90CE2">
        <w:rPr>
          <w:sz w:val="28"/>
          <w:szCs w:val="28"/>
        </w:rPr>
        <w:t>появление новых видов ESG-облигаций</w:t>
      </w:r>
      <w:r w:rsidR="002806A4">
        <w:rPr>
          <w:sz w:val="28"/>
          <w:szCs w:val="28"/>
        </w:rPr>
        <w:t>, таких как</w:t>
      </w:r>
      <w:r w:rsidR="00106A7F" w:rsidRPr="00F90CE2">
        <w:rPr>
          <w:sz w:val="28"/>
          <w:szCs w:val="28"/>
        </w:rPr>
        <w:t xml:space="preserve"> облигаций, связанных с климатическим переходом и облигаций с учетом показателей устойчивого развития. </w:t>
      </w:r>
    </w:p>
    <w:p w14:paraId="5E45A4B4" w14:textId="157FAB52" w:rsidR="00E216E4" w:rsidRPr="00E216E4" w:rsidRDefault="002806A4" w:rsidP="00E216E4">
      <w:pPr>
        <w:pStyle w:val="doctext"/>
        <w:numPr>
          <w:ilvl w:val="0"/>
          <w:numId w:val="3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предполагает, </w:t>
      </w:r>
      <w:r w:rsidR="00F90CE2" w:rsidRPr="00E216E4">
        <w:rPr>
          <w:sz w:val="28"/>
          <w:szCs w:val="28"/>
        </w:rPr>
        <w:t>что в</w:t>
      </w:r>
      <w:r w:rsidR="003A375A" w:rsidRPr="00E216E4">
        <w:rPr>
          <w:sz w:val="28"/>
          <w:szCs w:val="28"/>
        </w:rPr>
        <w:t xml:space="preserve">ыпуски </w:t>
      </w:r>
      <w:r w:rsidR="00F90CE2" w:rsidRPr="00E216E4">
        <w:rPr>
          <w:sz w:val="28"/>
          <w:szCs w:val="28"/>
        </w:rPr>
        <w:t xml:space="preserve">облигаций в формате устойчивого развития в 2024 году </w:t>
      </w:r>
      <w:r>
        <w:rPr>
          <w:sz w:val="28"/>
          <w:szCs w:val="28"/>
        </w:rPr>
        <w:t xml:space="preserve">вероятнее всего </w:t>
      </w:r>
      <w:r w:rsidR="003A375A" w:rsidRPr="00E216E4">
        <w:rPr>
          <w:sz w:val="28"/>
          <w:szCs w:val="28"/>
        </w:rPr>
        <w:t xml:space="preserve">будут, но чаще всего будут </w:t>
      </w:r>
      <w:r>
        <w:rPr>
          <w:sz w:val="28"/>
          <w:szCs w:val="28"/>
        </w:rPr>
        <w:t xml:space="preserve">они сравнительно </w:t>
      </w:r>
      <w:r w:rsidR="003A375A" w:rsidRPr="00E216E4">
        <w:rPr>
          <w:sz w:val="28"/>
          <w:szCs w:val="28"/>
        </w:rPr>
        <w:t>небольшими</w:t>
      </w:r>
      <w:r w:rsidR="006D0F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условиях нестабильности на финансовом рынке эмитенты крайне осторожно относятся к </w:t>
      </w:r>
      <w:r w:rsidR="003A375A" w:rsidRPr="00E216E4">
        <w:rPr>
          <w:sz w:val="28"/>
          <w:szCs w:val="28"/>
        </w:rPr>
        <w:t>публичны</w:t>
      </w:r>
      <w:r>
        <w:rPr>
          <w:sz w:val="28"/>
          <w:szCs w:val="28"/>
        </w:rPr>
        <w:t>м</w:t>
      </w:r>
      <w:r w:rsidR="003A375A" w:rsidRPr="00E216E4">
        <w:rPr>
          <w:sz w:val="28"/>
          <w:szCs w:val="28"/>
        </w:rPr>
        <w:t xml:space="preserve"> размещения</w:t>
      </w:r>
      <w:r>
        <w:rPr>
          <w:sz w:val="28"/>
          <w:szCs w:val="28"/>
        </w:rPr>
        <w:t>м</w:t>
      </w:r>
      <w:r w:rsidR="00474225">
        <w:rPr>
          <w:sz w:val="28"/>
          <w:szCs w:val="28"/>
        </w:rPr>
        <w:t>: с</w:t>
      </w:r>
      <w:r w:rsidR="00E216E4">
        <w:rPr>
          <w:sz w:val="28"/>
          <w:szCs w:val="28"/>
        </w:rPr>
        <w:t>огласно опрос</w:t>
      </w:r>
      <w:r w:rsidR="00474225">
        <w:rPr>
          <w:sz w:val="28"/>
          <w:szCs w:val="28"/>
        </w:rPr>
        <w:t>у,</w:t>
      </w:r>
      <w:r w:rsidR="00E216E4">
        <w:rPr>
          <w:sz w:val="28"/>
          <w:szCs w:val="28"/>
        </w:rPr>
        <w:t xml:space="preserve"> проведенн</w:t>
      </w:r>
      <w:r w:rsidR="00474225">
        <w:rPr>
          <w:sz w:val="28"/>
          <w:szCs w:val="28"/>
        </w:rPr>
        <w:t>ому</w:t>
      </w:r>
      <w:r w:rsidR="00E216E4">
        <w:rPr>
          <w:sz w:val="28"/>
          <w:szCs w:val="28"/>
        </w:rPr>
        <w:t xml:space="preserve"> экспертами РА (рисунок 2)</w:t>
      </w:r>
      <w:r w:rsidR="00474225">
        <w:rPr>
          <w:sz w:val="28"/>
          <w:szCs w:val="28"/>
        </w:rPr>
        <w:t>,</w:t>
      </w:r>
      <w:r w:rsidR="00E216E4">
        <w:rPr>
          <w:sz w:val="28"/>
          <w:szCs w:val="28"/>
        </w:rPr>
        <w:t xml:space="preserve"> б</w:t>
      </w:r>
      <w:r w:rsidR="00E216E4" w:rsidRPr="00E216E4">
        <w:rPr>
          <w:sz w:val="28"/>
          <w:szCs w:val="28"/>
        </w:rPr>
        <w:t>ол</w:t>
      </w:r>
      <w:r w:rsidR="00474225">
        <w:rPr>
          <w:sz w:val="28"/>
          <w:szCs w:val="28"/>
        </w:rPr>
        <w:t>е</w:t>
      </w:r>
      <w:r w:rsidR="00E216E4" w:rsidRPr="00E216E4">
        <w:rPr>
          <w:sz w:val="28"/>
          <w:szCs w:val="28"/>
        </w:rPr>
        <w:t>е 60% компаний и регионов не хотят брать ESG-заимствования</w:t>
      </w:r>
      <w:r w:rsidR="00E216E4">
        <w:rPr>
          <w:sz w:val="28"/>
          <w:szCs w:val="28"/>
        </w:rPr>
        <w:t xml:space="preserve">. </w:t>
      </w:r>
      <w:r w:rsidR="00F13B28">
        <w:rPr>
          <w:sz w:val="28"/>
          <w:szCs w:val="28"/>
        </w:rPr>
        <w:t>И только чуть больше 20 % компаний, и до 30 % регионов планируют использовать</w:t>
      </w:r>
      <w:r w:rsidR="00F13B28" w:rsidRPr="00F13B28">
        <w:t xml:space="preserve"> </w:t>
      </w:r>
      <w:r w:rsidR="00F13B28" w:rsidRPr="00F13B28">
        <w:rPr>
          <w:sz w:val="28"/>
          <w:szCs w:val="28"/>
        </w:rPr>
        <w:t>ESG-заимствования.</w:t>
      </w:r>
    </w:p>
    <w:p w14:paraId="5ED35A04" w14:textId="6653E4B7" w:rsidR="003A375A" w:rsidRPr="00E216E4" w:rsidRDefault="003A375A" w:rsidP="003C5E29">
      <w:pPr>
        <w:pStyle w:val="doctext"/>
        <w:shd w:val="clear" w:color="auto" w:fill="FFFFFF"/>
        <w:spacing w:line="288" w:lineRule="auto"/>
        <w:contextualSpacing/>
        <w:jc w:val="center"/>
        <w:rPr>
          <w:sz w:val="28"/>
          <w:szCs w:val="28"/>
        </w:rPr>
      </w:pPr>
      <w:r w:rsidRPr="003A375A">
        <w:rPr>
          <w:noProof/>
          <w:sz w:val="28"/>
          <w:szCs w:val="28"/>
        </w:rPr>
        <w:drawing>
          <wp:inline distT="0" distB="0" distL="0" distR="0" wp14:anchorId="00355AF4" wp14:editId="1C1F4802">
            <wp:extent cx="5907405" cy="2979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45" r="2380"/>
                    <a:stretch/>
                  </pic:blipFill>
                  <pic:spPr bwMode="auto">
                    <a:xfrm>
                      <a:off x="0" y="0"/>
                      <a:ext cx="6101741" cy="3077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56504" w14:textId="244AB74A" w:rsidR="00F90CE2" w:rsidRDefault="00F90CE2" w:rsidP="00073210">
      <w:pPr>
        <w:pStyle w:val="doctext"/>
        <w:shd w:val="clear" w:color="auto" w:fill="FFFFFF"/>
        <w:spacing w:line="288" w:lineRule="auto"/>
        <w:contextualSpacing/>
        <w:jc w:val="center"/>
        <w:rPr>
          <w:sz w:val="28"/>
          <w:szCs w:val="28"/>
        </w:rPr>
      </w:pPr>
      <w:r w:rsidRPr="00F90CE2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F90CE2">
        <w:rPr>
          <w:sz w:val="28"/>
          <w:szCs w:val="28"/>
        </w:rPr>
        <w:t xml:space="preserve"> -</w:t>
      </w:r>
      <w:r w:rsidR="00E21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 корпораций и регионов к </w:t>
      </w:r>
      <w:r w:rsidRPr="00F90CE2">
        <w:rPr>
          <w:sz w:val="28"/>
          <w:szCs w:val="28"/>
        </w:rPr>
        <w:t>ESG-заимствования</w:t>
      </w:r>
      <w:r>
        <w:rPr>
          <w:sz w:val="28"/>
          <w:szCs w:val="28"/>
        </w:rPr>
        <w:t>м</w:t>
      </w:r>
    </w:p>
    <w:p w14:paraId="3523A54A" w14:textId="677E0B6C" w:rsidR="00E216E4" w:rsidRDefault="00A850B3" w:rsidP="00E216E4">
      <w:pPr>
        <w:pStyle w:val="doctext"/>
        <w:numPr>
          <w:ilvl w:val="0"/>
          <w:numId w:val="3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касается </w:t>
      </w:r>
      <w:r w:rsidR="001A1815">
        <w:rPr>
          <w:sz w:val="28"/>
          <w:szCs w:val="28"/>
        </w:rPr>
        <w:t xml:space="preserve">видов финансовых инструментов, то вполне очевидно, что </w:t>
      </w:r>
      <w:r w:rsidR="001A3961" w:rsidRPr="001A3961">
        <w:rPr>
          <w:sz w:val="28"/>
          <w:szCs w:val="28"/>
        </w:rPr>
        <w:t>компании</w:t>
      </w:r>
      <w:r w:rsidR="001A3961">
        <w:rPr>
          <w:sz w:val="28"/>
          <w:szCs w:val="28"/>
        </w:rPr>
        <w:t xml:space="preserve"> </w:t>
      </w:r>
      <w:r w:rsidR="001A1815">
        <w:rPr>
          <w:sz w:val="28"/>
          <w:szCs w:val="28"/>
        </w:rPr>
        <w:t>чаще всего производят заимствования</w:t>
      </w:r>
      <w:r w:rsidR="00821C55">
        <w:rPr>
          <w:sz w:val="28"/>
          <w:szCs w:val="28"/>
        </w:rPr>
        <w:t xml:space="preserve"> ресурсов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в</w:t>
      </w:r>
      <w:r w:rsidR="001A3961">
        <w:rPr>
          <w:sz w:val="28"/>
          <w:szCs w:val="28"/>
        </w:rPr>
        <w:t xml:space="preserve"> «</w:t>
      </w:r>
      <w:r w:rsidR="001A3961" w:rsidRPr="001A3961">
        <w:rPr>
          <w:sz w:val="28"/>
          <w:szCs w:val="28"/>
        </w:rPr>
        <w:t>зеленых</w:t>
      </w:r>
      <w:r w:rsidR="001A3961">
        <w:rPr>
          <w:sz w:val="28"/>
          <w:szCs w:val="28"/>
        </w:rPr>
        <w:t xml:space="preserve">» </w:t>
      </w:r>
      <w:r w:rsidR="001A3961" w:rsidRPr="001A3961">
        <w:rPr>
          <w:sz w:val="28"/>
          <w:szCs w:val="28"/>
        </w:rPr>
        <w:t>инструментах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и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инструментах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устойчивого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развития,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а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регионы</w:t>
      </w:r>
      <w:r w:rsidR="001A3961">
        <w:rPr>
          <w:sz w:val="28"/>
          <w:szCs w:val="28"/>
        </w:rPr>
        <w:t xml:space="preserve"> – </w:t>
      </w:r>
      <w:r w:rsidR="001A3961" w:rsidRPr="001A3961">
        <w:rPr>
          <w:sz w:val="28"/>
          <w:szCs w:val="28"/>
        </w:rPr>
        <w:t>в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социальных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инструментах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и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инструментах</w:t>
      </w:r>
      <w:r w:rsidR="001A3961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 xml:space="preserve">устойчивого развития. </w:t>
      </w:r>
      <w:r w:rsidR="003A375A" w:rsidRPr="003A375A">
        <w:rPr>
          <w:sz w:val="28"/>
          <w:szCs w:val="28"/>
        </w:rPr>
        <w:t xml:space="preserve">Такой выбор вполне объясним, </w:t>
      </w:r>
      <w:r w:rsidR="001A3961">
        <w:rPr>
          <w:sz w:val="28"/>
          <w:szCs w:val="28"/>
        </w:rPr>
        <w:t>поскольк</w:t>
      </w:r>
      <w:r w:rsidR="003A375A" w:rsidRPr="003A375A">
        <w:rPr>
          <w:sz w:val="28"/>
          <w:szCs w:val="28"/>
        </w:rPr>
        <w:t xml:space="preserve">у </w:t>
      </w:r>
      <w:r w:rsidR="001A3961">
        <w:rPr>
          <w:sz w:val="28"/>
          <w:szCs w:val="28"/>
        </w:rPr>
        <w:t xml:space="preserve">у </w:t>
      </w:r>
      <w:r w:rsidR="003A375A" w:rsidRPr="003A375A">
        <w:rPr>
          <w:sz w:val="28"/>
          <w:szCs w:val="28"/>
        </w:rPr>
        <w:t>компаний есть конкретные проекты</w:t>
      </w:r>
      <w:r w:rsidR="001A3961">
        <w:rPr>
          <w:sz w:val="28"/>
          <w:szCs w:val="28"/>
        </w:rPr>
        <w:t xml:space="preserve"> и</w:t>
      </w:r>
      <w:r w:rsidR="003A375A" w:rsidRPr="003A375A">
        <w:rPr>
          <w:sz w:val="28"/>
          <w:szCs w:val="28"/>
        </w:rPr>
        <w:t xml:space="preserve"> желание финансировать комплекс мероприятий для достижения</w:t>
      </w:r>
      <w:r w:rsidR="001A3961">
        <w:rPr>
          <w:sz w:val="28"/>
          <w:szCs w:val="28"/>
        </w:rPr>
        <w:t xml:space="preserve"> общих</w:t>
      </w:r>
      <w:r w:rsidR="003A375A" w:rsidRPr="003A375A">
        <w:rPr>
          <w:sz w:val="28"/>
          <w:szCs w:val="28"/>
        </w:rPr>
        <w:t xml:space="preserve"> целей в рамках </w:t>
      </w:r>
      <w:r w:rsidR="003A375A" w:rsidRPr="00E216E4">
        <w:rPr>
          <w:sz w:val="28"/>
          <w:szCs w:val="28"/>
        </w:rPr>
        <w:t xml:space="preserve">всего бизнеса, </w:t>
      </w:r>
      <w:r w:rsidR="001A3961">
        <w:rPr>
          <w:sz w:val="28"/>
          <w:szCs w:val="28"/>
        </w:rPr>
        <w:t>в то время как у</w:t>
      </w:r>
      <w:r w:rsidR="003A375A" w:rsidRPr="00E216E4">
        <w:rPr>
          <w:sz w:val="28"/>
          <w:szCs w:val="28"/>
        </w:rPr>
        <w:t xml:space="preserve"> регионов бюджетные расходы </w:t>
      </w:r>
      <w:r w:rsidR="001A3961" w:rsidRPr="001A3961">
        <w:rPr>
          <w:sz w:val="28"/>
          <w:szCs w:val="28"/>
        </w:rPr>
        <w:t>носят</w:t>
      </w:r>
      <w:r w:rsidR="00890277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скорее</w:t>
      </w:r>
      <w:r w:rsidR="00890277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социальный</w:t>
      </w:r>
      <w:r w:rsidR="00890277">
        <w:rPr>
          <w:sz w:val="28"/>
          <w:szCs w:val="28"/>
        </w:rPr>
        <w:t xml:space="preserve"> </w:t>
      </w:r>
      <w:r w:rsidR="001A3961" w:rsidRPr="001A3961">
        <w:rPr>
          <w:sz w:val="28"/>
          <w:szCs w:val="28"/>
        </w:rPr>
        <w:t>характер.</w:t>
      </w:r>
    </w:p>
    <w:p w14:paraId="1A24BBE4" w14:textId="0BDEDA0E" w:rsidR="00E216E4" w:rsidRDefault="00E216E4" w:rsidP="00E216E4">
      <w:pPr>
        <w:pStyle w:val="doctext"/>
        <w:numPr>
          <w:ilvl w:val="0"/>
          <w:numId w:val="3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предположить, что </w:t>
      </w:r>
      <w:r w:rsidR="003A375A" w:rsidRPr="00E216E4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="003A375A" w:rsidRPr="00E216E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="003A375A" w:rsidRPr="00E216E4">
        <w:rPr>
          <w:sz w:val="28"/>
          <w:szCs w:val="28"/>
        </w:rPr>
        <w:t>рост рынка ESG-финанс</w:t>
      </w:r>
      <w:r w:rsidR="003E3139">
        <w:rPr>
          <w:sz w:val="28"/>
          <w:szCs w:val="28"/>
        </w:rPr>
        <w:t>ирования</w:t>
      </w:r>
      <w:r w:rsidR="003A375A" w:rsidRPr="00E216E4">
        <w:rPr>
          <w:sz w:val="28"/>
          <w:szCs w:val="28"/>
        </w:rPr>
        <w:t xml:space="preserve"> будет </w:t>
      </w:r>
      <w:r w:rsidR="003E3139">
        <w:rPr>
          <w:sz w:val="28"/>
          <w:szCs w:val="28"/>
        </w:rPr>
        <w:t>происходить</w:t>
      </w:r>
      <w:r w:rsidR="003A375A" w:rsidRPr="00E216E4">
        <w:rPr>
          <w:sz w:val="28"/>
          <w:szCs w:val="28"/>
        </w:rPr>
        <w:t xml:space="preserve"> в основном только за счет компаний с госучастием и </w:t>
      </w:r>
      <w:r w:rsidR="003E3139">
        <w:rPr>
          <w:sz w:val="28"/>
          <w:szCs w:val="28"/>
        </w:rPr>
        <w:t xml:space="preserve">будет </w:t>
      </w:r>
      <w:r w:rsidR="003A375A" w:rsidRPr="00E216E4">
        <w:rPr>
          <w:sz w:val="28"/>
          <w:szCs w:val="28"/>
        </w:rPr>
        <w:t xml:space="preserve">продолжаться до тех пор, пока господдержка для формирования рыночных сил и механизмов для создания </w:t>
      </w:r>
      <w:proofErr w:type="spellStart"/>
      <w:r w:rsidR="003A375A" w:rsidRPr="00E216E4">
        <w:rPr>
          <w:sz w:val="28"/>
          <w:szCs w:val="28"/>
        </w:rPr>
        <w:t>greenium</w:t>
      </w:r>
      <w:proofErr w:type="spellEnd"/>
      <w:r w:rsidRPr="00E216E4">
        <w:t xml:space="preserve"> </w:t>
      </w:r>
      <w:r>
        <w:t>(</w:t>
      </w:r>
      <w:r w:rsidRPr="00E216E4">
        <w:rPr>
          <w:sz w:val="28"/>
          <w:szCs w:val="28"/>
        </w:rPr>
        <w:t>разн</w:t>
      </w:r>
      <w:r w:rsidR="003E3139">
        <w:rPr>
          <w:sz w:val="28"/>
          <w:szCs w:val="28"/>
        </w:rPr>
        <w:t>ица</w:t>
      </w:r>
      <w:r w:rsidRPr="00E216E4">
        <w:rPr>
          <w:sz w:val="28"/>
          <w:szCs w:val="28"/>
        </w:rPr>
        <w:t xml:space="preserve"> между рыночной процентной ставкой и </w:t>
      </w:r>
      <w:r w:rsidR="003E3139">
        <w:rPr>
          <w:sz w:val="28"/>
          <w:szCs w:val="28"/>
        </w:rPr>
        <w:t xml:space="preserve">процентной </w:t>
      </w:r>
      <w:r w:rsidRPr="00E216E4">
        <w:rPr>
          <w:sz w:val="28"/>
          <w:szCs w:val="28"/>
        </w:rPr>
        <w:t>ставкой зеленого продукта)</w:t>
      </w:r>
      <w:r w:rsidR="00F13B28" w:rsidRPr="00F13B28">
        <w:t xml:space="preserve"> </w:t>
      </w:r>
      <w:r w:rsidR="00F13B28" w:rsidRPr="00F13B28">
        <w:rPr>
          <w:sz w:val="28"/>
          <w:szCs w:val="28"/>
        </w:rPr>
        <w:t xml:space="preserve">не </w:t>
      </w:r>
      <w:r w:rsidR="00F13B28">
        <w:rPr>
          <w:sz w:val="28"/>
          <w:szCs w:val="28"/>
        </w:rPr>
        <w:t>начнет работать</w:t>
      </w:r>
      <w:r w:rsidR="003A375A" w:rsidRPr="00E216E4">
        <w:rPr>
          <w:sz w:val="28"/>
          <w:szCs w:val="28"/>
        </w:rPr>
        <w:t>.</w:t>
      </w:r>
    </w:p>
    <w:p w14:paraId="7A998022" w14:textId="609C0BB3" w:rsidR="00E216E4" w:rsidRDefault="00A5035A" w:rsidP="00E216E4">
      <w:pPr>
        <w:pStyle w:val="doctext"/>
        <w:numPr>
          <w:ilvl w:val="0"/>
          <w:numId w:val="3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Аналитики </w:t>
      </w:r>
      <w:proofErr w:type="spellStart"/>
      <w:r>
        <w:rPr>
          <w:sz w:val="28"/>
          <w:szCs w:val="28"/>
        </w:rPr>
        <w:t>Сбера</w:t>
      </w:r>
      <w:proofErr w:type="spellEnd"/>
      <w:r>
        <w:rPr>
          <w:sz w:val="28"/>
          <w:szCs w:val="28"/>
        </w:rPr>
        <w:t xml:space="preserve"> прогнозируют, что к 2030 году </w:t>
      </w:r>
      <w:r w:rsidR="00E216E4" w:rsidRPr="00E216E4">
        <w:rPr>
          <w:sz w:val="28"/>
          <w:szCs w:val="28"/>
        </w:rPr>
        <w:t xml:space="preserve">общий объем рынка зеленых и устойчивых облигаций </w:t>
      </w:r>
      <w:r>
        <w:rPr>
          <w:sz w:val="28"/>
          <w:szCs w:val="28"/>
        </w:rPr>
        <w:t>достигнет уровня в</w:t>
      </w:r>
      <w:r w:rsidR="00E216E4" w:rsidRPr="00E216E4">
        <w:rPr>
          <w:sz w:val="28"/>
          <w:szCs w:val="28"/>
        </w:rPr>
        <w:t xml:space="preserve"> 500 млрд </w:t>
      </w:r>
      <w:proofErr w:type="spellStart"/>
      <w:r w:rsidR="00E216E4" w:rsidRPr="00E216E4">
        <w:rPr>
          <w:sz w:val="28"/>
          <w:szCs w:val="28"/>
        </w:rPr>
        <w:t>руб</w:t>
      </w:r>
      <w:proofErr w:type="spellEnd"/>
      <w:r w:rsidR="00F13B28">
        <w:rPr>
          <w:sz w:val="28"/>
          <w:szCs w:val="28"/>
        </w:rPr>
        <w:t xml:space="preserve"> </w:t>
      </w:r>
      <w:r w:rsidR="00F13B28" w:rsidRPr="00F13B28">
        <w:rPr>
          <w:sz w:val="28"/>
          <w:szCs w:val="28"/>
        </w:rPr>
        <w:t>[5]</w:t>
      </w:r>
      <w:r w:rsidR="00E216E4" w:rsidRPr="00E216E4">
        <w:rPr>
          <w:sz w:val="28"/>
          <w:szCs w:val="28"/>
        </w:rPr>
        <w:t>.</w:t>
      </w:r>
    </w:p>
    <w:p w14:paraId="5612424C" w14:textId="692CE5C6" w:rsidR="004D0F26" w:rsidRPr="004D0F26" w:rsidRDefault="00F13B28" w:rsidP="005D5B3F">
      <w:pPr>
        <w:pStyle w:val="doctext"/>
        <w:numPr>
          <w:ilvl w:val="0"/>
          <w:numId w:val="3"/>
        </w:numPr>
        <w:shd w:val="clear" w:color="auto" w:fill="FFFFFF"/>
        <w:spacing w:line="288" w:lineRule="auto"/>
        <w:ind w:left="0" w:firstLine="709"/>
        <w:contextualSpacing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Согласно оценке </w:t>
      </w:r>
      <w:proofErr w:type="spellStart"/>
      <w:r>
        <w:rPr>
          <w:sz w:val="28"/>
          <w:szCs w:val="28"/>
        </w:rPr>
        <w:t>Сбера</w:t>
      </w:r>
      <w:proofErr w:type="spellEnd"/>
      <w:r w:rsidR="00DA70A4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607AB3" w:rsidRPr="004D0F26">
        <w:rPr>
          <w:sz w:val="28"/>
          <w:szCs w:val="28"/>
        </w:rPr>
        <w:t>оссийские банки увеличивают выдачу кредитов для устойчивого развития</w:t>
      </w:r>
      <w:r>
        <w:rPr>
          <w:sz w:val="28"/>
          <w:szCs w:val="28"/>
        </w:rPr>
        <w:t>: при этом</w:t>
      </w:r>
      <w:r w:rsidR="00607AB3" w:rsidRPr="004D0F26">
        <w:rPr>
          <w:sz w:val="28"/>
          <w:szCs w:val="28"/>
        </w:rPr>
        <w:t xml:space="preserve"> объем зеленых, адаптационных и ESG-кредитов составляет 2,4 трлн руб., а к 2026 году </w:t>
      </w:r>
      <w:r>
        <w:rPr>
          <w:sz w:val="28"/>
          <w:szCs w:val="28"/>
        </w:rPr>
        <w:t xml:space="preserve">может достигнуть </w:t>
      </w:r>
      <w:r w:rsidR="00607AB3" w:rsidRPr="004D0F26">
        <w:rPr>
          <w:sz w:val="28"/>
          <w:szCs w:val="28"/>
        </w:rPr>
        <w:t xml:space="preserve">3,4 трлн руб. </w:t>
      </w:r>
    </w:p>
    <w:p w14:paraId="70007EED" w14:textId="3E1606AC" w:rsidR="00E458CA" w:rsidRPr="004D0F26" w:rsidRDefault="00E216E4" w:rsidP="004D0F26">
      <w:pPr>
        <w:pStyle w:val="doctext"/>
        <w:shd w:val="clear" w:color="auto" w:fill="FFFFFF"/>
        <w:spacing w:line="288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4D0F26">
        <w:rPr>
          <w:color w:val="111111"/>
          <w:sz w:val="28"/>
          <w:szCs w:val="28"/>
        </w:rPr>
        <w:t xml:space="preserve">Исходя из тенденций развития рынка </w:t>
      </w:r>
      <w:r w:rsidR="00E17FD4" w:rsidRPr="004D0F26">
        <w:rPr>
          <w:color w:val="111111"/>
          <w:sz w:val="28"/>
          <w:szCs w:val="28"/>
        </w:rPr>
        <w:t>устойчивых</w:t>
      </w:r>
      <w:r w:rsidRPr="004D0F26">
        <w:rPr>
          <w:color w:val="111111"/>
          <w:sz w:val="28"/>
          <w:szCs w:val="28"/>
        </w:rPr>
        <w:t xml:space="preserve"> финансов становится понятно, что </w:t>
      </w:r>
      <w:r w:rsidR="00E17FD4" w:rsidRPr="004D0F26">
        <w:rPr>
          <w:color w:val="111111"/>
          <w:sz w:val="28"/>
          <w:szCs w:val="28"/>
        </w:rPr>
        <w:t>основными</w:t>
      </w:r>
      <w:r w:rsidRPr="004D0F26">
        <w:rPr>
          <w:color w:val="111111"/>
          <w:sz w:val="28"/>
          <w:szCs w:val="28"/>
        </w:rPr>
        <w:t xml:space="preserve"> заемщиками пока остаются </w:t>
      </w:r>
      <w:r w:rsidR="00E17FD4" w:rsidRPr="004D0F26">
        <w:rPr>
          <w:color w:val="111111"/>
          <w:sz w:val="28"/>
          <w:szCs w:val="28"/>
        </w:rPr>
        <w:t>компании</w:t>
      </w:r>
      <w:r w:rsidRPr="004D0F26">
        <w:rPr>
          <w:color w:val="111111"/>
          <w:sz w:val="28"/>
          <w:szCs w:val="28"/>
        </w:rPr>
        <w:t xml:space="preserve"> с госучастие, что </w:t>
      </w:r>
      <w:r w:rsidR="00E17FD4" w:rsidRPr="004D0F26">
        <w:rPr>
          <w:color w:val="111111"/>
          <w:sz w:val="28"/>
          <w:szCs w:val="28"/>
        </w:rPr>
        <w:t>в краткосрочной перспективе не та</w:t>
      </w:r>
      <w:r w:rsidR="004D0F26">
        <w:rPr>
          <w:color w:val="111111"/>
          <w:sz w:val="28"/>
          <w:szCs w:val="28"/>
        </w:rPr>
        <w:t>к</w:t>
      </w:r>
      <w:r w:rsidR="00E17FD4" w:rsidRPr="004D0F26">
        <w:rPr>
          <w:color w:val="111111"/>
          <w:sz w:val="28"/>
          <w:szCs w:val="28"/>
        </w:rPr>
        <w:t xml:space="preserve"> и плохо; но в долгосрочной перспективе рынок зеленых финансов должен расти, за счет других драйверов. Так</w:t>
      </w:r>
      <w:r w:rsidR="00607AB3" w:rsidRPr="004D0F26">
        <w:rPr>
          <w:color w:val="111111"/>
          <w:sz w:val="28"/>
          <w:szCs w:val="28"/>
        </w:rPr>
        <w:t>,</w:t>
      </w:r>
      <w:r w:rsidR="00E17FD4" w:rsidRPr="004D0F26">
        <w:rPr>
          <w:color w:val="111111"/>
          <w:sz w:val="28"/>
          <w:szCs w:val="28"/>
        </w:rPr>
        <w:t xml:space="preserve"> например, </w:t>
      </w:r>
      <w:r w:rsidR="00087DC3">
        <w:rPr>
          <w:color w:val="111111"/>
          <w:sz w:val="28"/>
          <w:szCs w:val="28"/>
        </w:rPr>
        <w:t xml:space="preserve">одним из лучших способов поддержки банков могло бы стать </w:t>
      </w:r>
      <w:r w:rsidR="00197DC6" w:rsidRPr="004D0F26">
        <w:rPr>
          <w:color w:val="111111"/>
          <w:sz w:val="28"/>
          <w:szCs w:val="28"/>
        </w:rPr>
        <w:t xml:space="preserve">уменьшение ставок по резервированию, </w:t>
      </w:r>
      <w:r w:rsidR="00087DC3">
        <w:rPr>
          <w:color w:val="111111"/>
          <w:sz w:val="28"/>
          <w:szCs w:val="28"/>
        </w:rPr>
        <w:t xml:space="preserve">но </w:t>
      </w:r>
      <w:r w:rsidR="00197DC6" w:rsidRPr="004D0F26">
        <w:rPr>
          <w:color w:val="111111"/>
          <w:sz w:val="28"/>
          <w:szCs w:val="28"/>
        </w:rPr>
        <w:t>при условии</w:t>
      </w:r>
      <w:r w:rsidR="00087DC3">
        <w:rPr>
          <w:color w:val="111111"/>
          <w:sz w:val="28"/>
          <w:szCs w:val="28"/>
        </w:rPr>
        <w:t xml:space="preserve">, что банки смогли бы </w:t>
      </w:r>
      <w:r w:rsidR="00D51AD0">
        <w:rPr>
          <w:color w:val="111111"/>
          <w:sz w:val="28"/>
          <w:szCs w:val="28"/>
        </w:rPr>
        <w:t>обеспечить</w:t>
      </w:r>
      <w:r w:rsidR="00197DC6" w:rsidRPr="004D0F26">
        <w:rPr>
          <w:color w:val="111111"/>
          <w:sz w:val="28"/>
          <w:szCs w:val="28"/>
        </w:rPr>
        <w:t xml:space="preserve"> адекватн</w:t>
      </w:r>
      <w:r w:rsidR="00087DC3">
        <w:rPr>
          <w:color w:val="111111"/>
          <w:sz w:val="28"/>
          <w:szCs w:val="28"/>
        </w:rPr>
        <w:t>ую</w:t>
      </w:r>
      <w:r w:rsidR="00197DC6" w:rsidRPr="004D0F26">
        <w:rPr>
          <w:color w:val="111111"/>
          <w:sz w:val="28"/>
          <w:szCs w:val="28"/>
        </w:rPr>
        <w:t xml:space="preserve"> оценк</w:t>
      </w:r>
      <w:r w:rsidR="00087DC3">
        <w:rPr>
          <w:color w:val="111111"/>
          <w:sz w:val="28"/>
          <w:szCs w:val="28"/>
        </w:rPr>
        <w:t>у</w:t>
      </w:r>
      <w:r w:rsidR="00197DC6" w:rsidRPr="004D0F26">
        <w:rPr>
          <w:color w:val="111111"/>
          <w:sz w:val="28"/>
          <w:szCs w:val="28"/>
        </w:rPr>
        <w:t xml:space="preserve"> кредитного риска заемщика. </w:t>
      </w:r>
    </w:p>
    <w:p w14:paraId="288517E1" w14:textId="4EB98B4B" w:rsidR="00E17FD4" w:rsidRDefault="00E17FD4" w:rsidP="00197DC6">
      <w:pPr>
        <w:pStyle w:val="doctext"/>
        <w:shd w:val="clear" w:color="auto" w:fill="FFFFFF"/>
        <w:spacing w:line="288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Важным для рынка зеленых финансов остается тот фактор, что г</w:t>
      </w:r>
      <w:r w:rsidR="00A17099" w:rsidRPr="00197DC6">
        <w:rPr>
          <w:color w:val="111111"/>
          <w:sz w:val="28"/>
          <w:szCs w:val="28"/>
        </w:rPr>
        <w:t>осударство поддерживает экологические инициативы</w:t>
      </w:r>
      <w:r>
        <w:rPr>
          <w:color w:val="111111"/>
          <w:sz w:val="28"/>
          <w:szCs w:val="28"/>
        </w:rPr>
        <w:t xml:space="preserve"> тем самым, </w:t>
      </w:r>
      <w:r w:rsidR="00A17099" w:rsidRPr="00197DC6">
        <w:rPr>
          <w:color w:val="111111"/>
          <w:sz w:val="28"/>
          <w:szCs w:val="28"/>
        </w:rPr>
        <w:t>стимулир</w:t>
      </w:r>
      <w:r>
        <w:rPr>
          <w:color w:val="111111"/>
          <w:sz w:val="28"/>
          <w:szCs w:val="28"/>
        </w:rPr>
        <w:t>уя интерес и рост</w:t>
      </w:r>
      <w:r w:rsidR="00A17099" w:rsidRPr="00197DC6">
        <w:rPr>
          <w:color w:val="111111"/>
          <w:sz w:val="28"/>
          <w:szCs w:val="28"/>
        </w:rPr>
        <w:t xml:space="preserve"> зеленых инвестиций. Президент</w:t>
      </w:r>
      <w:r w:rsidR="002E6E13">
        <w:rPr>
          <w:color w:val="111111"/>
          <w:sz w:val="28"/>
          <w:szCs w:val="28"/>
        </w:rPr>
        <w:t xml:space="preserve"> дал поручение</w:t>
      </w:r>
      <w:r w:rsidR="00A17099" w:rsidRPr="00197DC6">
        <w:rPr>
          <w:color w:val="111111"/>
          <w:sz w:val="28"/>
          <w:szCs w:val="28"/>
        </w:rPr>
        <w:t xml:space="preserve"> </w:t>
      </w:r>
      <w:r w:rsidR="002E6E13">
        <w:rPr>
          <w:color w:val="111111"/>
          <w:sz w:val="28"/>
          <w:szCs w:val="28"/>
        </w:rPr>
        <w:t>П</w:t>
      </w:r>
      <w:r w:rsidR="00A17099" w:rsidRPr="00197DC6">
        <w:rPr>
          <w:color w:val="111111"/>
          <w:sz w:val="28"/>
          <w:szCs w:val="28"/>
        </w:rPr>
        <w:t xml:space="preserve">равительству и </w:t>
      </w:r>
      <w:r w:rsidR="002E6E13" w:rsidRPr="00197DC6">
        <w:rPr>
          <w:color w:val="111111"/>
          <w:sz w:val="28"/>
          <w:szCs w:val="28"/>
        </w:rPr>
        <w:t>Ц</w:t>
      </w:r>
      <w:r w:rsidR="002E6E13">
        <w:rPr>
          <w:color w:val="111111"/>
          <w:sz w:val="28"/>
          <w:szCs w:val="28"/>
        </w:rPr>
        <w:t>ентральному банку</w:t>
      </w:r>
      <w:r w:rsidR="00A17099" w:rsidRPr="00197DC6">
        <w:rPr>
          <w:color w:val="111111"/>
          <w:sz w:val="28"/>
          <w:szCs w:val="28"/>
        </w:rPr>
        <w:t xml:space="preserve"> доработать </w:t>
      </w:r>
      <w:r w:rsidR="002E6E13" w:rsidRPr="002E6E13">
        <w:rPr>
          <w:color w:val="111111"/>
          <w:sz w:val="28"/>
          <w:szCs w:val="28"/>
        </w:rPr>
        <w:t xml:space="preserve">таксономия </w:t>
      </w:r>
      <w:r w:rsidR="002E6E13">
        <w:rPr>
          <w:color w:val="111111"/>
          <w:sz w:val="28"/>
          <w:szCs w:val="28"/>
        </w:rPr>
        <w:t xml:space="preserve">РФ </w:t>
      </w:r>
      <w:r w:rsidR="00A17099" w:rsidRPr="00197DC6">
        <w:rPr>
          <w:color w:val="111111"/>
          <w:sz w:val="28"/>
          <w:szCs w:val="28"/>
        </w:rPr>
        <w:t>с учетом принципов ответственного ведения бизнеса</w:t>
      </w:r>
      <w:r w:rsidR="002E6E13">
        <w:rPr>
          <w:color w:val="111111"/>
          <w:sz w:val="28"/>
          <w:szCs w:val="28"/>
        </w:rPr>
        <w:t xml:space="preserve">, а также разработать </w:t>
      </w:r>
      <w:r w:rsidR="00A17099" w:rsidRPr="00197DC6">
        <w:rPr>
          <w:color w:val="111111"/>
          <w:sz w:val="28"/>
          <w:szCs w:val="28"/>
        </w:rPr>
        <w:t xml:space="preserve">меры поддержки </w:t>
      </w:r>
      <w:r w:rsidR="002E6E13" w:rsidRPr="002E6E13">
        <w:rPr>
          <w:color w:val="111111"/>
          <w:sz w:val="28"/>
          <w:szCs w:val="28"/>
        </w:rPr>
        <w:t>инструментов ESG финансирования</w:t>
      </w:r>
      <w:r w:rsidR="002E6E13">
        <w:rPr>
          <w:color w:val="111111"/>
          <w:sz w:val="28"/>
          <w:szCs w:val="28"/>
        </w:rPr>
        <w:t>, так, например</w:t>
      </w:r>
      <w:r w:rsidR="00A17099" w:rsidRPr="00197DC6">
        <w:rPr>
          <w:color w:val="111111"/>
          <w:sz w:val="28"/>
          <w:szCs w:val="28"/>
        </w:rPr>
        <w:t>, обсуждается снижение нормы резервирования для устойчивых финансовых продуктов.</w:t>
      </w:r>
      <w:r w:rsidRPr="00E17FD4">
        <w:t xml:space="preserve"> </w:t>
      </w:r>
    </w:p>
    <w:p w14:paraId="3EC30D67" w14:textId="0B7E4DCB" w:rsidR="00A17099" w:rsidRPr="00607AB3" w:rsidRDefault="00E17FD4" w:rsidP="00607AB3">
      <w:pPr>
        <w:pStyle w:val="doctext"/>
        <w:shd w:val="clear" w:color="auto" w:fill="FFFFFF"/>
        <w:spacing w:line="288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Стоит отметить, что </w:t>
      </w:r>
      <w:r w:rsidRPr="00E17FD4">
        <w:rPr>
          <w:color w:val="111111"/>
          <w:sz w:val="28"/>
          <w:szCs w:val="28"/>
        </w:rPr>
        <w:t xml:space="preserve">Банк России играет </w:t>
      </w:r>
      <w:r>
        <w:rPr>
          <w:color w:val="111111"/>
          <w:sz w:val="28"/>
          <w:szCs w:val="28"/>
        </w:rPr>
        <w:t xml:space="preserve">важную </w:t>
      </w:r>
      <w:r w:rsidRPr="00E17FD4">
        <w:rPr>
          <w:color w:val="111111"/>
          <w:sz w:val="28"/>
          <w:szCs w:val="28"/>
        </w:rPr>
        <w:t xml:space="preserve">роль </w:t>
      </w:r>
      <w:r>
        <w:rPr>
          <w:color w:val="111111"/>
          <w:sz w:val="28"/>
          <w:szCs w:val="28"/>
        </w:rPr>
        <w:t xml:space="preserve">в популяризации устойчивой повестки в стране, а </w:t>
      </w:r>
      <w:r w:rsidRPr="00E17FD4">
        <w:rPr>
          <w:color w:val="111111"/>
          <w:sz w:val="28"/>
          <w:szCs w:val="28"/>
        </w:rPr>
        <w:t xml:space="preserve">не только </w:t>
      </w:r>
      <w:r>
        <w:rPr>
          <w:color w:val="111111"/>
          <w:sz w:val="28"/>
          <w:szCs w:val="28"/>
        </w:rPr>
        <w:t xml:space="preserve">является </w:t>
      </w:r>
      <w:r w:rsidRPr="00E17FD4">
        <w:rPr>
          <w:color w:val="111111"/>
          <w:sz w:val="28"/>
          <w:szCs w:val="28"/>
        </w:rPr>
        <w:t>регулятор</w:t>
      </w:r>
      <w:r>
        <w:rPr>
          <w:color w:val="111111"/>
          <w:sz w:val="28"/>
          <w:szCs w:val="28"/>
        </w:rPr>
        <w:t>ом</w:t>
      </w:r>
      <w:r w:rsidRPr="00E17FD4">
        <w:rPr>
          <w:color w:val="111111"/>
          <w:sz w:val="28"/>
          <w:szCs w:val="28"/>
        </w:rPr>
        <w:t xml:space="preserve"> нового рынка. </w:t>
      </w:r>
      <w:r w:rsidR="00F55159">
        <w:rPr>
          <w:color w:val="111111"/>
          <w:sz w:val="28"/>
          <w:szCs w:val="28"/>
        </w:rPr>
        <w:t xml:space="preserve">В настоящее время Банк России активно пытается вовлечь в тематику </w:t>
      </w:r>
      <w:r w:rsidRPr="00E17FD4">
        <w:rPr>
          <w:color w:val="111111"/>
          <w:sz w:val="28"/>
          <w:szCs w:val="28"/>
        </w:rPr>
        <w:t xml:space="preserve">ESG не </w:t>
      </w:r>
      <w:r w:rsidRPr="00E17FD4">
        <w:rPr>
          <w:color w:val="111111"/>
          <w:sz w:val="28"/>
          <w:szCs w:val="28"/>
        </w:rPr>
        <w:lastRenderedPageBreak/>
        <w:t>только банк</w:t>
      </w:r>
      <w:r w:rsidR="00F55159">
        <w:rPr>
          <w:color w:val="111111"/>
          <w:sz w:val="28"/>
          <w:szCs w:val="28"/>
        </w:rPr>
        <w:t>и</w:t>
      </w:r>
      <w:r w:rsidRPr="00E17FD4">
        <w:rPr>
          <w:color w:val="111111"/>
          <w:sz w:val="28"/>
          <w:szCs w:val="28"/>
        </w:rPr>
        <w:t xml:space="preserve">, </w:t>
      </w:r>
      <w:bookmarkStart w:id="0" w:name="_Hlk160296951"/>
      <w:r w:rsidRPr="00E17FD4">
        <w:rPr>
          <w:color w:val="111111"/>
          <w:sz w:val="28"/>
          <w:szCs w:val="28"/>
        </w:rPr>
        <w:t>н</w:t>
      </w:r>
      <w:bookmarkEnd w:id="0"/>
      <w:r w:rsidRPr="00E17FD4">
        <w:rPr>
          <w:color w:val="111111"/>
          <w:sz w:val="28"/>
          <w:szCs w:val="28"/>
        </w:rPr>
        <w:t>о и други</w:t>
      </w:r>
      <w:r w:rsidR="00F55159">
        <w:rPr>
          <w:color w:val="111111"/>
          <w:sz w:val="28"/>
          <w:szCs w:val="28"/>
        </w:rPr>
        <w:t>е</w:t>
      </w:r>
      <w:r w:rsidRPr="00E17FD4">
        <w:rPr>
          <w:color w:val="111111"/>
          <w:sz w:val="28"/>
          <w:szCs w:val="28"/>
        </w:rPr>
        <w:t xml:space="preserve"> организаци</w:t>
      </w:r>
      <w:r w:rsidR="00F55159">
        <w:rPr>
          <w:color w:val="111111"/>
          <w:sz w:val="28"/>
          <w:szCs w:val="28"/>
        </w:rPr>
        <w:t>и</w:t>
      </w:r>
      <w:r w:rsidRPr="00E17FD4">
        <w:rPr>
          <w:color w:val="111111"/>
          <w:sz w:val="28"/>
          <w:szCs w:val="28"/>
        </w:rPr>
        <w:t xml:space="preserve"> финансового рынка – </w:t>
      </w:r>
      <w:r w:rsidR="00F55159">
        <w:rPr>
          <w:color w:val="111111"/>
          <w:sz w:val="28"/>
          <w:szCs w:val="28"/>
        </w:rPr>
        <w:t xml:space="preserve">фонды, </w:t>
      </w:r>
      <w:r w:rsidRPr="00E17FD4">
        <w:rPr>
          <w:color w:val="111111"/>
          <w:sz w:val="28"/>
          <w:szCs w:val="28"/>
        </w:rPr>
        <w:t>страховы</w:t>
      </w:r>
      <w:r w:rsidR="00F55159">
        <w:rPr>
          <w:color w:val="111111"/>
          <w:sz w:val="28"/>
          <w:szCs w:val="28"/>
        </w:rPr>
        <w:t>е компании</w:t>
      </w:r>
      <w:r w:rsidRPr="00E17FD4">
        <w:rPr>
          <w:color w:val="111111"/>
          <w:sz w:val="28"/>
          <w:szCs w:val="28"/>
        </w:rPr>
        <w:t>, управляющи</w:t>
      </w:r>
      <w:r w:rsidR="00F55159">
        <w:rPr>
          <w:color w:val="111111"/>
          <w:sz w:val="28"/>
          <w:szCs w:val="28"/>
        </w:rPr>
        <w:t>е</w:t>
      </w:r>
      <w:r w:rsidRPr="00E17FD4">
        <w:rPr>
          <w:color w:val="111111"/>
          <w:sz w:val="28"/>
          <w:szCs w:val="28"/>
        </w:rPr>
        <w:t xml:space="preserve"> компани</w:t>
      </w:r>
      <w:r w:rsidR="00F55159">
        <w:rPr>
          <w:color w:val="111111"/>
          <w:sz w:val="28"/>
          <w:szCs w:val="28"/>
        </w:rPr>
        <w:t>и.</w:t>
      </w:r>
      <w:r w:rsidRPr="00E17FD4">
        <w:rPr>
          <w:color w:val="111111"/>
          <w:sz w:val="28"/>
          <w:szCs w:val="28"/>
        </w:rPr>
        <w:t xml:space="preserve"> На  ближайшем горизонте Банк России сфокусируется прежде всего на  продолжении работы по развитию рынка устойчивого финансирования в части инструментов, инфраструктуры, внедрения вопросов устойчивого развития и  учета ESG-факторов в  корпоративное управление</w:t>
      </w:r>
      <w:r w:rsidR="00607AB3">
        <w:rPr>
          <w:color w:val="111111"/>
          <w:sz w:val="28"/>
          <w:szCs w:val="28"/>
        </w:rPr>
        <w:t xml:space="preserve"> </w:t>
      </w:r>
      <w:r w:rsidR="00607AB3" w:rsidRPr="00607AB3">
        <w:rPr>
          <w:color w:val="111111"/>
          <w:sz w:val="28"/>
          <w:szCs w:val="28"/>
        </w:rPr>
        <w:t>[5]</w:t>
      </w:r>
      <w:r w:rsidR="00607AB3">
        <w:rPr>
          <w:color w:val="111111"/>
          <w:sz w:val="28"/>
          <w:szCs w:val="28"/>
        </w:rPr>
        <w:t xml:space="preserve">, данные направления работы </w:t>
      </w:r>
      <w:r w:rsidR="004D0F26">
        <w:rPr>
          <w:color w:val="111111"/>
          <w:sz w:val="28"/>
          <w:szCs w:val="28"/>
        </w:rPr>
        <w:t xml:space="preserve">Банка России </w:t>
      </w:r>
      <w:r w:rsidR="00607AB3">
        <w:rPr>
          <w:color w:val="111111"/>
          <w:sz w:val="28"/>
          <w:szCs w:val="28"/>
        </w:rPr>
        <w:t>в области устойчивого развития зафиксированы в</w:t>
      </w:r>
      <w:r w:rsidRPr="00E17FD4">
        <w:rPr>
          <w:color w:val="111111"/>
          <w:sz w:val="28"/>
          <w:szCs w:val="28"/>
        </w:rPr>
        <w:t xml:space="preserve"> «Основны</w:t>
      </w:r>
      <w:r w:rsidR="00607AB3">
        <w:rPr>
          <w:color w:val="111111"/>
          <w:sz w:val="28"/>
          <w:szCs w:val="28"/>
        </w:rPr>
        <w:t>х</w:t>
      </w:r>
      <w:r w:rsidRPr="00E17FD4">
        <w:rPr>
          <w:color w:val="111111"/>
          <w:sz w:val="28"/>
          <w:szCs w:val="28"/>
        </w:rPr>
        <w:t xml:space="preserve"> направления</w:t>
      </w:r>
      <w:r w:rsidR="00607AB3">
        <w:rPr>
          <w:color w:val="111111"/>
          <w:sz w:val="28"/>
          <w:szCs w:val="28"/>
        </w:rPr>
        <w:t>х</w:t>
      </w:r>
      <w:r w:rsidRPr="00E17FD4">
        <w:rPr>
          <w:color w:val="111111"/>
          <w:sz w:val="28"/>
          <w:szCs w:val="28"/>
        </w:rPr>
        <w:t xml:space="preserve"> развития финансового рынка Российской федерации</w:t>
      </w:r>
      <w:r>
        <w:rPr>
          <w:caps/>
          <w:color w:val="111111"/>
          <w:sz w:val="28"/>
          <w:szCs w:val="28"/>
        </w:rPr>
        <w:t xml:space="preserve"> </w:t>
      </w:r>
      <w:r w:rsidRPr="00E17FD4">
        <w:rPr>
          <w:color w:val="111111"/>
          <w:sz w:val="28"/>
          <w:szCs w:val="28"/>
        </w:rPr>
        <w:t>на 2023 год и период</w:t>
      </w:r>
      <w:r>
        <w:rPr>
          <w:caps/>
          <w:color w:val="111111"/>
          <w:sz w:val="28"/>
          <w:szCs w:val="28"/>
        </w:rPr>
        <w:t xml:space="preserve"> </w:t>
      </w:r>
      <w:r w:rsidRPr="00E17FD4">
        <w:rPr>
          <w:color w:val="111111"/>
          <w:sz w:val="28"/>
          <w:szCs w:val="28"/>
        </w:rPr>
        <w:t>2024 и 2025 годов</w:t>
      </w:r>
      <w:r>
        <w:rPr>
          <w:color w:val="111111"/>
          <w:sz w:val="28"/>
          <w:szCs w:val="28"/>
        </w:rPr>
        <w:t>»</w:t>
      </w:r>
      <w:r w:rsidR="00607AB3">
        <w:t>.</w:t>
      </w:r>
    </w:p>
    <w:p w14:paraId="207BC077" w14:textId="7EC587D9" w:rsidR="00A17099" w:rsidRPr="00607AB3" w:rsidRDefault="00A04947" w:rsidP="00197DC6">
      <w:pPr>
        <w:pStyle w:val="doctext"/>
        <w:shd w:val="clear" w:color="auto" w:fill="FFFFFF"/>
        <w:spacing w:line="288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Российский р</w:t>
      </w:r>
      <w:r w:rsidR="00A17099" w:rsidRPr="00197DC6">
        <w:rPr>
          <w:color w:val="111111"/>
          <w:sz w:val="28"/>
          <w:szCs w:val="28"/>
        </w:rPr>
        <w:t xml:space="preserve">ынок зеленого финансирования будет развиваться </w:t>
      </w:r>
      <w:r>
        <w:rPr>
          <w:color w:val="111111"/>
          <w:sz w:val="28"/>
          <w:szCs w:val="28"/>
        </w:rPr>
        <w:t>п</w:t>
      </w:r>
      <w:r w:rsidRPr="00A04947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сценарию,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схожему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международным</w:t>
      </w:r>
      <w:r w:rsidR="00A17099" w:rsidRPr="00197DC6">
        <w:rPr>
          <w:color w:val="111111"/>
          <w:sz w:val="28"/>
          <w:szCs w:val="28"/>
        </w:rPr>
        <w:t xml:space="preserve">. Драйверами станут необходимость переоценки рисков отраслей, </w:t>
      </w:r>
      <w:r w:rsidR="00C523C8">
        <w:rPr>
          <w:color w:val="111111"/>
          <w:sz w:val="28"/>
          <w:szCs w:val="28"/>
        </w:rPr>
        <w:t xml:space="preserve">которые в большей </w:t>
      </w:r>
      <w:r w:rsidR="00C523C8" w:rsidRPr="00451B4A">
        <w:rPr>
          <w:color w:val="111111"/>
          <w:sz w:val="28"/>
          <w:szCs w:val="28"/>
        </w:rPr>
        <w:t xml:space="preserve">степени </w:t>
      </w:r>
      <w:r w:rsidR="00451B4A" w:rsidRPr="00451B4A">
        <w:rPr>
          <w:color w:val="111111"/>
          <w:sz w:val="28"/>
          <w:szCs w:val="28"/>
        </w:rPr>
        <w:t>подверженных</w:t>
      </w:r>
      <w:r w:rsidR="00A17099" w:rsidRPr="00451B4A">
        <w:rPr>
          <w:color w:val="111111"/>
          <w:sz w:val="28"/>
          <w:szCs w:val="28"/>
        </w:rPr>
        <w:t xml:space="preserve"> </w:t>
      </w:r>
      <w:r w:rsidRPr="00451B4A">
        <w:rPr>
          <w:color w:val="111111"/>
          <w:sz w:val="28"/>
          <w:szCs w:val="28"/>
        </w:rPr>
        <w:t>рискам изменения климата</w:t>
      </w:r>
      <w:r w:rsidR="00A17099" w:rsidRPr="00451B4A">
        <w:rPr>
          <w:color w:val="111111"/>
          <w:sz w:val="28"/>
          <w:szCs w:val="28"/>
        </w:rPr>
        <w:t xml:space="preserve">, рост амбициозности целей </w:t>
      </w:r>
      <w:r w:rsidRPr="00451B4A">
        <w:rPr>
          <w:color w:val="111111"/>
          <w:sz w:val="28"/>
          <w:szCs w:val="28"/>
        </w:rPr>
        <w:t xml:space="preserve">по </w:t>
      </w:r>
      <w:r w:rsidR="00A17099" w:rsidRPr="00451B4A">
        <w:rPr>
          <w:color w:val="111111"/>
          <w:sz w:val="28"/>
          <w:szCs w:val="28"/>
        </w:rPr>
        <w:t>сокращени</w:t>
      </w:r>
      <w:r w:rsidRPr="00451B4A">
        <w:rPr>
          <w:color w:val="111111"/>
          <w:sz w:val="28"/>
          <w:szCs w:val="28"/>
        </w:rPr>
        <w:t>ю</w:t>
      </w:r>
      <w:r w:rsidR="00A17099" w:rsidRPr="00451B4A">
        <w:rPr>
          <w:color w:val="111111"/>
          <w:sz w:val="28"/>
          <w:szCs w:val="28"/>
        </w:rPr>
        <w:t xml:space="preserve"> выбросов парниковых газов, </w:t>
      </w:r>
      <w:r w:rsidR="00451B4A" w:rsidRPr="00451B4A">
        <w:rPr>
          <w:color w:val="111111"/>
          <w:sz w:val="28"/>
          <w:szCs w:val="28"/>
        </w:rPr>
        <w:t>ужесточение</w:t>
      </w:r>
      <w:r w:rsidR="00A17099" w:rsidRPr="00451B4A">
        <w:rPr>
          <w:color w:val="111111"/>
          <w:sz w:val="28"/>
          <w:szCs w:val="28"/>
        </w:rPr>
        <w:t xml:space="preserve"> углеродного регулирования</w:t>
      </w:r>
      <w:r w:rsidR="00451B4A" w:rsidRPr="00451B4A">
        <w:rPr>
          <w:color w:val="111111"/>
          <w:sz w:val="28"/>
          <w:szCs w:val="28"/>
        </w:rPr>
        <w:t xml:space="preserve"> </w:t>
      </w:r>
      <w:r w:rsidR="00A17099" w:rsidRPr="00451B4A">
        <w:rPr>
          <w:color w:val="111111"/>
          <w:sz w:val="28"/>
          <w:szCs w:val="28"/>
        </w:rPr>
        <w:t>на международных товарных рынках,</w:t>
      </w:r>
      <w:r w:rsidR="00A17099" w:rsidRPr="00607AB3">
        <w:rPr>
          <w:color w:val="111111"/>
          <w:sz w:val="28"/>
          <w:szCs w:val="28"/>
        </w:rPr>
        <w:t xml:space="preserve"> адаптация </w:t>
      </w:r>
      <w:r>
        <w:rPr>
          <w:color w:val="111111"/>
          <w:sz w:val="28"/>
          <w:szCs w:val="28"/>
        </w:rPr>
        <w:t xml:space="preserve">к </w:t>
      </w:r>
      <w:r w:rsidRPr="00A04947">
        <w:rPr>
          <w:color w:val="111111"/>
          <w:sz w:val="28"/>
          <w:szCs w:val="28"/>
        </w:rPr>
        <w:t>изменению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климата,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целевое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перераспределение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капитала</w:t>
      </w:r>
      <w:r>
        <w:rPr>
          <w:color w:val="111111"/>
          <w:sz w:val="28"/>
          <w:szCs w:val="28"/>
        </w:rPr>
        <w:t>, политические решения</w:t>
      </w:r>
      <w:r w:rsidR="00A17099" w:rsidRPr="00607AB3">
        <w:rPr>
          <w:color w:val="111111"/>
          <w:sz w:val="28"/>
          <w:szCs w:val="28"/>
        </w:rPr>
        <w:t xml:space="preserve">. </w:t>
      </w:r>
      <w:r w:rsidRPr="00A04947">
        <w:rPr>
          <w:color w:val="111111"/>
          <w:sz w:val="28"/>
          <w:szCs w:val="28"/>
        </w:rPr>
        <w:t>Эти факторы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приведут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увеличению объема</w:t>
      </w:r>
      <w:r>
        <w:rPr>
          <w:color w:val="111111"/>
          <w:sz w:val="28"/>
          <w:szCs w:val="28"/>
        </w:rPr>
        <w:t xml:space="preserve"> </w:t>
      </w:r>
      <w:r w:rsidRPr="00A04947">
        <w:rPr>
          <w:color w:val="111111"/>
          <w:sz w:val="28"/>
          <w:szCs w:val="28"/>
        </w:rPr>
        <w:t>рынка</w:t>
      </w:r>
      <w:r>
        <w:rPr>
          <w:color w:val="111111"/>
          <w:sz w:val="28"/>
          <w:szCs w:val="28"/>
        </w:rPr>
        <w:t xml:space="preserve"> «</w:t>
      </w:r>
      <w:r w:rsidRPr="00A04947">
        <w:rPr>
          <w:color w:val="111111"/>
          <w:sz w:val="28"/>
          <w:szCs w:val="28"/>
        </w:rPr>
        <w:t>зеленого</w:t>
      </w:r>
      <w:r>
        <w:rPr>
          <w:color w:val="111111"/>
          <w:sz w:val="28"/>
          <w:szCs w:val="28"/>
        </w:rPr>
        <w:t xml:space="preserve">» </w:t>
      </w:r>
      <w:r w:rsidRPr="00A04947">
        <w:rPr>
          <w:color w:val="111111"/>
          <w:sz w:val="28"/>
          <w:szCs w:val="28"/>
        </w:rPr>
        <w:t>финансирования.</w:t>
      </w:r>
      <w:r w:rsidR="00A17099" w:rsidRPr="00607AB3">
        <w:rPr>
          <w:color w:val="111111"/>
          <w:sz w:val="28"/>
          <w:szCs w:val="28"/>
        </w:rPr>
        <w:t xml:space="preserve"> </w:t>
      </w:r>
    </w:p>
    <w:p w14:paraId="0982275E" w14:textId="4EE12169" w:rsidR="00A17099" w:rsidRPr="00607AB3" w:rsidRDefault="00607AB3" w:rsidP="00197DC6">
      <w:pPr>
        <w:pStyle w:val="doctext"/>
        <w:shd w:val="clear" w:color="auto" w:fill="FFFFFF"/>
        <w:spacing w:line="288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Исходя из прогнозов по рынку устойчивого финансирования, а также учитывая экономическую ситуацию, драйверы роста для рынка и роль государства, в</w:t>
      </w:r>
      <w:r w:rsidR="00A17099" w:rsidRPr="00607AB3">
        <w:rPr>
          <w:color w:val="111111"/>
          <w:sz w:val="28"/>
          <w:szCs w:val="28"/>
        </w:rPr>
        <w:t xml:space="preserve"> 2024 году можно ожидать </w:t>
      </w:r>
      <w:r>
        <w:rPr>
          <w:color w:val="111111"/>
          <w:sz w:val="28"/>
          <w:szCs w:val="28"/>
        </w:rPr>
        <w:t>следующее</w:t>
      </w:r>
      <w:r w:rsidR="00A17099" w:rsidRPr="00607AB3">
        <w:rPr>
          <w:color w:val="111111"/>
          <w:sz w:val="28"/>
          <w:szCs w:val="28"/>
        </w:rPr>
        <w:t xml:space="preserve">: на биржу придут лишь крупные </w:t>
      </w:r>
      <w:r w:rsidR="00451B4A">
        <w:rPr>
          <w:color w:val="111111"/>
          <w:sz w:val="28"/>
          <w:szCs w:val="28"/>
        </w:rPr>
        <w:t>компании с целью</w:t>
      </w:r>
      <w:r w:rsidR="00A17099" w:rsidRPr="00607AB3">
        <w:rPr>
          <w:color w:val="111111"/>
          <w:sz w:val="28"/>
          <w:szCs w:val="28"/>
        </w:rPr>
        <w:t xml:space="preserve"> рефинансирования текущих обязательств. </w:t>
      </w:r>
      <w:r w:rsidR="00451B4A">
        <w:rPr>
          <w:color w:val="111111"/>
          <w:sz w:val="28"/>
          <w:szCs w:val="28"/>
        </w:rPr>
        <w:t>В связ</w:t>
      </w:r>
      <w:r w:rsidR="008A5D56">
        <w:rPr>
          <w:color w:val="111111"/>
          <w:sz w:val="28"/>
          <w:szCs w:val="28"/>
        </w:rPr>
        <w:t>и</w:t>
      </w:r>
      <w:r w:rsidR="00451B4A">
        <w:rPr>
          <w:color w:val="111111"/>
          <w:sz w:val="28"/>
          <w:szCs w:val="28"/>
        </w:rPr>
        <w:t xml:space="preserve"> с вышесказанным, </w:t>
      </w:r>
      <w:r w:rsidR="00A17099" w:rsidRPr="00607AB3">
        <w:rPr>
          <w:color w:val="111111"/>
          <w:sz w:val="28"/>
          <w:szCs w:val="28"/>
        </w:rPr>
        <w:t xml:space="preserve">значительного роста рынка зеленых облигаций </w:t>
      </w:r>
      <w:r w:rsidR="00451B4A">
        <w:rPr>
          <w:color w:val="111111"/>
          <w:sz w:val="28"/>
          <w:szCs w:val="28"/>
        </w:rPr>
        <w:t xml:space="preserve">в 2024 году </w:t>
      </w:r>
      <w:r w:rsidR="00A17099" w:rsidRPr="00607AB3">
        <w:rPr>
          <w:color w:val="111111"/>
          <w:sz w:val="28"/>
          <w:szCs w:val="28"/>
        </w:rPr>
        <w:t>ждать не стоит</w:t>
      </w:r>
      <w:r w:rsidR="00451B4A">
        <w:rPr>
          <w:color w:val="111111"/>
          <w:sz w:val="28"/>
          <w:szCs w:val="28"/>
        </w:rPr>
        <w:t>: он</w:t>
      </w:r>
      <w:r w:rsidR="00A17099" w:rsidRPr="00607AB3">
        <w:rPr>
          <w:color w:val="111111"/>
          <w:sz w:val="28"/>
          <w:szCs w:val="28"/>
        </w:rPr>
        <w:t xml:space="preserve"> </w:t>
      </w:r>
      <w:r w:rsidR="00451B4A">
        <w:rPr>
          <w:color w:val="111111"/>
          <w:sz w:val="28"/>
          <w:szCs w:val="28"/>
        </w:rPr>
        <w:t xml:space="preserve">сохранится </w:t>
      </w:r>
      <w:r w:rsidR="00A17099" w:rsidRPr="00607AB3">
        <w:rPr>
          <w:color w:val="111111"/>
          <w:sz w:val="28"/>
          <w:szCs w:val="28"/>
        </w:rPr>
        <w:t>либо на уровне 2023 года, либо</w:t>
      </w:r>
      <w:r w:rsidR="00451B4A">
        <w:rPr>
          <w:color w:val="111111"/>
          <w:sz w:val="28"/>
          <w:szCs w:val="28"/>
        </w:rPr>
        <w:t xml:space="preserve"> будет</w:t>
      </w:r>
      <w:r w:rsidR="00A17099" w:rsidRPr="00607AB3">
        <w:rPr>
          <w:color w:val="111111"/>
          <w:sz w:val="28"/>
          <w:szCs w:val="28"/>
        </w:rPr>
        <w:t xml:space="preserve"> ниже. </w:t>
      </w:r>
      <w:r w:rsidR="00A04947" w:rsidRPr="00A04947">
        <w:rPr>
          <w:color w:val="111111"/>
          <w:sz w:val="28"/>
          <w:szCs w:val="28"/>
        </w:rPr>
        <w:t>Если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в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2024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году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денежно-кредитная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политика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России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будет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ужесточаться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или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смягчение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денежно-кредитной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политики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не произойдет,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привлечение</w:t>
      </w:r>
      <w:r w:rsidR="00474225">
        <w:rPr>
          <w:color w:val="111111"/>
          <w:sz w:val="28"/>
          <w:szCs w:val="28"/>
        </w:rPr>
        <w:t xml:space="preserve"> денежных средств</w:t>
      </w:r>
      <w:r w:rsidR="00A04947">
        <w:rPr>
          <w:color w:val="111111"/>
          <w:sz w:val="28"/>
          <w:szCs w:val="28"/>
        </w:rPr>
        <w:t xml:space="preserve"> по </w:t>
      </w:r>
      <w:r w:rsidR="00A04947" w:rsidRPr="00A04947">
        <w:rPr>
          <w:color w:val="111111"/>
          <w:sz w:val="28"/>
          <w:szCs w:val="28"/>
        </w:rPr>
        <w:t>столь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высокой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для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 xml:space="preserve">финансирования </w:t>
      </w:r>
      <w:r w:rsidR="00474225">
        <w:rPr>
          <w:color w:val="111111"/>
          <w:sz w:val="28"/>
          <w:szCs w:val="28"/>
        </w:rPr>
        <w:t>«</w:t>
      </w:r>
      <w:r w:rsidR="00A04947" w:rsidRPr="00A04947">
        <w:rPr>
          <w:color w:val="111111"/>
          <w:sz w:val="28"/>
          <w:szCs w:val="28"/>
        </w:rPr>
        <w:t>зеленых</w:t>
      </w:r>
      <w:r w:rsidR="00474225">
        <w:rPr>
          <w:color w:val="111111"/>
          <w:sz w:val="28"/>
          <w:szCs w:val="28"/>
        </w:rPr>
        <w:t>»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проектов</w:t>
      </w:r>
      <w:r w:rsidR="00A04947">
        <w:rPr>
          <w:color w:val="111111"/>
          <w:sz w:val="28"/>
          <w:szCs w:val="28"/>
        </w:rPr>
        <w:t xml:space="preserve"> </w:t>
      </w:r>
      <w:r w:rsidR="00DA70A4">
        <w:rPr>
          <w:color w:val="111111"/>
          <w:sz w:val="28"/>
          <w:szCs w:val="28"/>
        </w:rPr>
        <w:t xml:space="preserve">ставке </w:t>
      </w:r>
      <w:r w:rsidR="00A04947" w:rsidRPr="00A04947">
        <w:rPr>
          <w:color w:val="111111"/>
          <w:sz w:val="28"/>
          <w:szCs w:val="28"/>
        </w:rPr>
        <w:t>будет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не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выгодным.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Поэтому в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ближайший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период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эмитенты будут осторожны и не станут привлекать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финансирование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по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столь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высоким</w:t>
      </w:r>
      <w:r w:rsidR="00A04947">
        <w:rPr>
          <w:color w:val="111111"/>
          <w:sz w:val="28"/>
          <w:szCs w:val="28"/>
        </w:rPr>
        <w:t xml:space="preserve"> </w:t>
      </w:r>
      <w:r w:rsidR="00A04947" w:rsidRPr="00A04947">
        <w:rPr>
          <w:color w:val="111111"/>
          <w:sz w:val="28"/>
          <w:szCs w:val="28"/>
        </w:rPr>
        <w:t>ставкам в связи с экономической ситуацией.</w:t>
      </w:r>
    </w:p>
    <w:p w14:paraId="77CF6853" w14:textId="77777777" w:rsidR="00DA70A4" w:rsidRDefault="00474225" w:rsidP="00607AB3">
      <w:pPr>
        <w:pStyle w:val="doctext"/>
        <w:shd w:val="clear" w:color="auto" w:fill="FFFFFF"/>
        <w:spacing w:line="288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Значительный </w:t>
      </w:r>
      <w:r w:rsidR="00A17099" w:rsidRPr="00607AB3">
        <w:rPr>
          <w:color w:val="111111"/>
          <w:sz w:val="28"/>
          <w:szCs w:val="28"/>
        </w:rPr>
        <w:t xml:space="preserve">рост </w:t>
      </w:r>
      <w:r>
        <w:rPr>
          <w:color w:val="111111"/>
          <w:sz w:val="28"/>
          <w:szCs w:val="28"/>
        </w:rPr>
        <w:t>ожидается</w:t>
      </w:r>
      <w:r w:rsidR="00A17099" w:rsidRPr="00607AB3">
        <w:rPr>
          <w:color w:val="111111"/>
          <w:sz w:val="28"/>
          <w:szCs w:val="28"/>
        </w:rPr>
        <w:t xml:space="preserve"> за счет зеленых банковских кредитов. Од</w:t>
      </w:r>
      <w:r>
        <w:rPr>
          <w:color w:val="111111"/>
          <w:sz w:val="28"/>
          <w:szCs w:val="28"/>
        </w:rPr>
        <w:t>ним</w:t>
      </w:r>
      <w:r w:rsidR="00A17099" w:rsidRPr="00607AB3">
        <w:rPr>
          <w:color w:val="111111"/>
          <w:sz w:val="28"/>
          <w:szCs w:val="28"/>
        </w:rPr>
        <w:t xml:space="preserve"> из ключевых драйверов </w:t>
      </w:r>
      <w:r>
        <w:rPr>
          <w:color w:val="111111"/>
          <w:sz w:val="28"/>
          <w:szCs w:val="28"/>
        </w:rPr>
        <w:t>здесь является</w:t>
      </w:r>
      <w:r w:rsidR="00A17099" w:rsidRPr="00607AB3">
        <w:rPr>
          <w:color w:val="111111"/>
          <w:sz w:val="28"/>
          <w:szCs w:val="28"/>
        </w:rPr>
        <w:t xml:space="preserve"> </w:t>
      </w:r>
      <w:proofErr w:type="spellStart"/>
      <w:r w:rsidR="00A17099" w:rsidRPr="00607AB3">
        <w:rPr>
          <w:color w:val="111111"/>
          <w:sz w:val="28"/>
          <w:szCs w:val="28"/>
        </w:rPr>
        <w:t>Сбер</w:t>
      </w:r>
      <w:proofErr w:type="spellEnd"/>
      <w:r w:rsidR="00A17099" w:rsidRPr="00607AB3">
        <w:rPr>
          <w:color w:val="111111"/>
          <w:sz w:val="28"/>
          <w:szCs w:val="28"/>
        </w:rPr>
        <w:t xml:space="preserve">, который утвердил новую стратегию и планирует </w:t>
      </w:r>
      <w:r>
        <w:rPr>
          <w:color w:val="111111"/>
          <w:sz w:val="28"/>
          <w:szCs w:val="28"/>
        </w:rPr>
        <w:t>увеличить</w:t>
      </w:r>
      <w:r w:rsidR="00A17099" w:rsidRPr="00607AB3">
        <w:rPr>
          <w:color w:val="111111"/>
          <w:sz w:val="28"/>
          <w:szCs w:val="28"/>
        </w:rPr>
        <w:t xml:space="preserve"> объем</w:t>
      </w:r>
      <w:r>
        <w:rPr>
          <w:color w:val="111111"/>
          <w:sz w:val="28"/>
          <w:szCs w:val="28"/>
        </w:rPr>
        <w:t xml:space="preserve"> своего</w:t>
      </w:r>
      <w:r w:rsidR="00A17099" w:rsidRPr="00607AB3">
        <w:rPr>
          <w:color w:val="111111"/>
          <w:sz w:val="28"/>
          <w:szCs w:val="28"/>
        </w:rPr>
        <w:t xml:space="preserve"> портфеля к 2026 году. </w:t>
      </w:r>
    </w:p>
    <w:p w14:paraId="520246B5" w14:textId="2DCBA03F" w:rsidR="00991E1D" w:rsidRDefault="00474225" w:rsidP="00607AB3">
      <w:pPr>
        <w:pStyle w:val="doctext"/>
        <w:shd w:val="clear" w:color="auto" w:fill="FFFFFF"/>
        <w:spacing w:line="288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474225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целом,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с учетом всех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вышеперечисленных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факторов,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2024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году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рынок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зеленого финансирования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может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вырасти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менее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чем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на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30%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по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сравнению с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2023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годом.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Заемщики будут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осторожно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подходить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привлечению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заемных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средств на фоне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 xml:space="preserve">внешней неопределенности и </w:t>
      </w:r>
      <w:r w:rsidRPr="00474225">
        <w:rPr>
          <w:color w:val="111111"/>
          <w:sz w:val="28"/>
          <w:szCs w:val="28"/>
        </w:rPr>
        <w:lastRenderedPageBreak/>
        <w:t>отсутствия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государственной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поддержки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>в виде субсидирования</w:t>
      </w:r>
      <w:r>
        <w:rPr>
          <w:color w:val="111111"/>
          <w:sz w:val="28"/>
          <w:szCs w:val="28"/>
        </w:rPr>
        <w:t xml:space="preserve"> </w:t>
      </w:r>
      <w:r w:rsidRPr="00474225">
        <w:rPr>
          <w:color w:val="111111"/>
          <w:sz w:val="28"/>
          <w:szCs w:val="28"/>
        </w:rPr>
        <w:t xml:space="preserve">процентных ставок. </w:t>
      </w:r>
    </w:p>
    <w:p w14:paraId="1A25BB4A" w14:textId="4C98F151" w:rsidR="00950473" w:rsidRPr="00477EF0" w:rsidRDefault="00950473" w:rsidP="00477EF0">
      <w:pPr>
        <w:pStyle w:val="doctext"/>
        <w:shd w:val="clear" w:color="auto" w:fill="FFFFFF"/>
        <w:spacing w:line="288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заключении хочется отметить, что </w:t>
      </w:r>
      <w:r w:rsidRPr="00950473">
        <w:rPr>
          <w:color w:val="111111"/>
          <w:sz w:val="28"/>
          <w:szCs w:val="28"/>
        </w:rPr>
        <w:t>рын</w:t>
      </w:r>
      <w:r>
        <w:rPr>
          <w:color w:val="111111"/>
          <w:sz w:val="28"/>
          <w:szCs w:val="28"/>
        </w:rPr>
        <w:t>ок</w:t>
      </w:r>
      <w:r w:rsidRPr="00950473">
        <w:rPr>
          <w:color w:val="111111"/>
          <w:sz w:val="28"/>
          <w:szCs w:val="28"/>
        </w:rPr>
        <w:t xml:space="preserve"> устойчивого финансирования в России</w:t>
      </w:r>
      <w:r>
        <w:rPr>
          <w:color w:val="111111"/>
          <w:sz w:val="28"/>
          <w:szCs w:val="28"/>
        </w:rPr>
        <w:t xml:space="preserve"> сталкивается с рядом проблем, но при этом демонстрирует огромный потенциал, реализация которого несет в себе интересные возможности для государства, общества и бизнеса. Несмотря на вызовы последних лет </w:t>
      </w:r>
      <w:r w:rsidR="00477EF0">
        <w:rPr>
          <w:color w:val="111111"/>
          <w:sz w:val="28"/>
          <w:szCs w:val="28"/>
        </w:rPr>
        <w:t xml:space="preserve">российская экономика движется в направлении устойчивого развития, неотъемлемой частью которого становится </w:t>
      </w:r>
      <w:r w:rsidR="00477EF0" w:rsidRPr="00477EF0">
        <w:rPr>
          <w:color w:val="111111"/>
          <w:sz w:val="28"/>
          <w:szCs w:val="28"/>
        </w:rPr>
        <w:t>экологическая и</w:t>
      </w:r>
      <w:r w:rsidR="00477EF0">
        <w:rPr>
          <w:color w:val="111111"/>
          <w:sz w:val="28"/>
          <w:szCs w:val="28"/>
        </w:rPr>
        <w:t xml:space="preserve"> </w:t>
      </w:r>
      <w:r w:rsidR="00477EF0" w:rsidRPr="00477EF0">
        <w:rPr>
          <w:color w:val="111111"/>
          <w:sz w:val="28"/>
          <w:szCs w:val="28"/>
        </w:rPr>
        <w:t>социальная устойчивость</w:t>
      </w:r>
      <w:r w:rsidR="00ED6F43">
        <w:t xml:space="preserve">. </w:t>
      </w:r>
    </w:p>
    <w:p w14:paraId="1299AF9E" w14:textId="77777777" w:rsidR="00E458CA" w:rsidRPr="00F8220D" w:rsidRDefault="00E458CA" w:rsidP="00E458CA">
      <w:pPr>
        <w:pStyle w:val="yl27r"/>
        <w:shd w:val="clear" w:color="auto" w:fill="FCFCFC"/>
        <w:spacing w:before="240" w:after="480" w:line="288" w:lineRule="auto"/>
        <w:contextualSpacing/>
        <w:rPr>
          <w:b/>
          <w:bCs/>
          <w:color w:val="000000" w:themeColor="text1"/>
          <w:sz w:val="28"/>
          <w:szCs w:val="28"/>
        </w:rPr>
      </w:pPr>
      <w:r w:rsidRPr="00F8220D">
        <w:rPr>
          <w:b/>
          <w:bCs/>
          <w:sz w:val="28"/>
          <w:szCs w:val="28"/>
        </w:rPr>
        <w:t>Библиографический список</w:t>
      </w:r>
    </w:p>
    <w:p w14:paraId="6C79886C" w14:textId="16527E5A" w:rsidR="00821C55" w:rsidRPr="00821C55" w:rsidRDefault="00C71D1F" w:rsidP="00821C55">
      <w:pPr>
        <w:numPr>
          <w:ilvl w:val="0"/>
          <w:numId w:val="2"/>
        </w:numPr>
        <w:shd w:val="clear" w:color="auto" w:fill="FCFCFC"/>
        <w:spacing w:before="240"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облигации</w:t>
      </w:r>
      <w:r w:rsidR="00821C55" w:rsidRP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итоги</w:t>
      </w:r>
      <w:r w:rsidR="00821C55" w:rsidRP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21C55" w:rsidRP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1C55" w:rsidRP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</w:t>
      </w:r>
      <w:r w:rsidR="00821C55" w:rsidRP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О. Макарова </w:t>
      </w:r>
      <w:r w:rsidR="00821C55" w:rsidRP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>// Сборник материалов XXI Международной научно</w:t>
      </w:r>
      <w:r w:rsid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C55" w:rsidRP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конференции, 26 октября 2023 г. – СПб.: Изд-во «МБИ имени Анатолия Собчака», 2023. – </w:t>
      </w:r>
      <w:r w:rsid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1C55" w:rsidRP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>148-153</w:t>
      </w:r>
      <w:r w:rsidR="00821C55" w:rsidRPr="0082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ISBN 978-5-4228-0139-8.</w:t>
      </w:r>
    </w:p>
    <w:p w14:paraId="5F16F7E2" w14:textId="0DE7D642" w:rsidR="00593AD7" w:rsidRPr="004D0F26" w:rsidRDefault="00593AD7" w:rsidP="00E458CA">
      <w:pPr>
        <w:numPr>
          <w:ilvl w:val="0"/>
          <w:numId w:val="2"/>
        </w:numPr>
        <w:shd w:val="clear" w:color="auto" w:fill="FCFCFC"/>
        <w:spacing w:before="240"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Ключников И. Устойчивые финансовые инструменты: современное состояние и перспективы развития / И. Ключников, М. </w:t>
      </w:r>
      <w:proofErr w:type="spellStart"/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Сигова</w:t>
      </w:r>
      <w:proofErr w:type="spellEnd"/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Ключников // Экономическая политика. — 2023. — Т. 18, № 4. — С. 78–107. — DOI 10.18288/1994-5124-2023-4-78-107. — EDN IQRDPU</w:t>
      </w:r>
    </w:p>
    <w:p w14:paraId="1213681D" w14:textId="2CE85736" w:rsidR="00593AD7" w:rsidRPr="004D0F26" w:rsidRDefault="00593AD7" w:rsidP="00E458CA">
      <w:pPr>
        <w:numPr>
          <w:ilvl w:val="0"/>
          <w:numId w:val="2"/>
        </w:numPr>
        <w:shd w:val="clear" w:color="auto" w:fill="FCFCFC"/>
        <w:spacing w:before="240"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Аналитическое кредитное рейтинговое агентство. Российский рынок ESG-облигаций: упал-отжался</w:t>
      </w:r>
      <w:r w:rsidR="004D0F26"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[Электронный ресурс]. Режим доступа:  </w:t>
      </w:r>
      <w:hyperlink r:id="rId8" w:history="1">
        <w:r w:rsidR="00106A7F" w:rsidRPr="004D0F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https://www.acra-ratings.ru/research/2749/</w:t>
        </w:r>
      </w:hyperlink>
      <w:r w:rsidR="00106A7F"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</w:t>
      </w:r>
      <w:r w:rsidR="00106A7F"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6A7F"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.2024).</w:t>
      </w:r>
    </w:p>
    <w:p w14:paraId="7487BF95" w14:textId="77777777" w:rsidR="00F13B28" w:rsidRDefault="00C71D1F" w:rsidP="00346448">
      <w:pPr>
        <w:numPr>
          <w:ilvl w:val="0"/>
          <w:numId w:val="2"/>
        </w:numPr>
        <w:shd w:val="clear" w:color="auto" w:fill="FCFCFC"/>
        <w:spacing w:before="240"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A375A" w:rsidRPr="00F13B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Будущее рынка устойчивого финансирования: шок прошел – вернулись к росту. </w:t>
        </w:r>
        <w:r w:rsidR="004D0F26" w:rsidRPr="00F13B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[Электронный ресурс]. Режим доступа: </w:t>
        </w:r>
      </w:hyperlink>
      <w:r w:rsidR="003A375A" w:rsidRPr="00F1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3A375A" w:rsidRPr="00F13B28">
          <w:rPr>
            <w:rStyle w:val="a3"/>
            <w:rFonts w:ascii="Times New Roman" w:hAnsi="Times New Roman" w:cs="Times New Roman"/>
            <w:sz w:val="28"/>
            <w:szCs w:val="28"/>
          </w:rPr>
          <w:t>https://raexpert.ru/researches/sus_dev/esg_2023/</w:t>
        </w:r>
      </w:hyperlink>
      <w:r w:rsidR="003A375A" w:rsidRPr="00F13B28">
        <w:rPr>
          <w:rFonts w:ascii="Times New Roman" w:hAnsi="Times New Roman" w:cs="Times New Roman"/>
          <w:sz w:val="28"/>
          <w:szCs w:val="28"/>
        </w:rPr>
        <w:t xml:space="preserve"> </w:t>
      </w:r>
      <w:r w:rsidR="003A375A" w:rsidRPr="00F13B2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02.03.2024)</w:t>
      </w:r>
    </w:p>
    <w:p w14:paraId="6A94D356" w14:textId="1EF33D6A" w:rsidR="00F13B28" w:rsidRPr="00F13B28" w:rsidRDefault="00F13B28" w:rsidP="00346448">
      <w:pPr>
        <w:numPr>
          <w:ilvl w:val="0"/>
          <w:numId w:val="2"/>
        </w:numPr>
        <w:shd w:val="clear" w:color="auto" w:fill="FCFCFC"/>
        <w:spacing w:before="240"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Устоявшие финансы.</w:t>
      </w:r>
      <w:r w:rsidRPr="00F13B28">
        <w:t xml:space="preserve"> </w:t>
      </w:r>
      <w:r w:rsidRPr="00F1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Режим доступа: </w:t>
      </w:r>
      <w:hyperlink r:id="rId11" w:history="1">
        <w:r w:rsidRPr="00F13B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https://www.kommersant.ru/doc/6413233</w:t>
        </w:r>
      </w:hyperlink>
      <w:r w:rsidRPr="00F1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02.03.2024)</w:t>
      </w:r>
    </w:p>
    <w:p w14:paraId="550A8699" w14:textId="73BE79FB" w:rsidR="00E17FD4" w:rsidRPr="004D0F26" w:rsidRDefault="00E17FD4" w:rsidP="00E17FD4">
      <w:pPr>
        <w:numPr>
          <w:ilvl w:val="0"/>
          <w:numId w:val="2"/>
        </w:numPr>
        <w:shd w:val="clear" w:color="auto" w:fill="FCFCFC"/>
        <w:spacing w:before="240"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развития финансового рынка Российской федерации на 2023 год и период 2024 и 2025 годов». </w:t>
      </w:r>
      <w:r w:rsidR="004D0F26"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Режим доступа: </w:t>
      </w:r>
      <w:hyperlink r:id="rId12" w:history="1">
        <w:r w:rsidR="004D0F26" w:rsidRPr="004D0F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https://cbr.ru/Content/Document/File/143773/onfr_2023-2025.pdf</w:t>
        </w:r>
      </w:hyperlink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02.03.2024).</w:t>
      </w:r>
    </w:p>
    <w:p w14:paraId="53F3F5D0" w14:textId="4524A401" w:rsidR="00E458CA" w:rsidRPr="004D0F26" w:rsidRDefault="00E458CA" w:rsidP="00E458CA">
      <w:pPr>
        <w:numPr>
          <w:ilvl w:val="0"/>
          <w:numId w:val="2"/>
        </w:numPr>
        <w:shd w:val="clear" w:color="auto" w:fill="FCFCFC"/>
        <w:spacing w:before="240"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доклад «</w:t>
      </w:r>
      <w:r w:rsidRPr="004D0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ESG</w:t>
      </w: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декарбонизация и зеленые финансы России 2022 [Электронный ресурс]. Режим доступа: </w:t>
      </w:r>
      <w:hyperlink r:id="rId13" w:history="1">
        <w:r w:rsidRPr="004D0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https://infragreen.ru/frontend/images/PDF/INFRAGREEN_Green_finance_ESG_Russia_2023.pdf</w:t>
        </w:r>
      </w:hyperlink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обращения: </w:t>
      </w:r>
      <w:r w:rsidR="00607AB3"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AB3"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07AB3"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12A1A2F" w14:textId="173F56DF" w:rsidR="00E458CA" w:rsidRPr="00E458CA" w:rsidRDefault="00C71D1F" w:rsidP="00E458CA">
      <w:pPr>
        <w:numPr>
          <w:ilvl w:val="0"/>
          <w:numId w:val="2"/>
        </w:numPr>
        <w:shd w:val="clear" w:color="auto" w:fill="FCFCFC"/>
        <w:spacing w:before="240"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458CA" w:rsidRPr="00E45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ИНФРАГРИН включил два выпуска облигаций в Реестр зеленых и социальных облигаций </w:t>
        </w:r>
      </w:hyperlink>
      <w:r w:rsidR="00E458CA" w:rsidRPr="00E458CA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  <w:r w:rsidR="00E458CA" w:rsidRPr="00E4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8CA" w:rsidRPr="00E45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="00E458CA" w:rsidRPr="00E4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E458CA" w:rsidRPr="00E458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https://infragreen.ru/news/135774</w:t>
        </w:r>
      </w:hyperlink>
      <w:r w:rsidR="00E458CA" w:rsidRPr="00E4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</w:t>
      </w:r>
      <w:r w:rsid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458CA" w:rsidRPr="00E4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458CA" w:rsidRPr="00E458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D0F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58CA" w:rsidRPr="00E458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AC824EA" w14:textId="77777777" w:rsidR="00E458CA" w:rsidRDefault="00E458CA"/>
    <w:sectPr w:rsidR="00E4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F7C"/>
    <w:multiLevelType w:val="multilevel"/>
    <w:tmpl w:val="B8AE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32F6F"/>
    <w:multiLevelType w:val="hybridMultilevel"/>
    <w:tmpl w:val="587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B3CED"/>
    <w:multiLevelType w:val="hybridMultilevel"/>
    <w:tmpl w:val="64380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25"/>
    <w:rsid w:val="00065D25"/>
    <w:rsid w:val="00073210"/>
    <w:rsid w:val="00087DC3"/>
    <w:rsid w:val="00106A7F"/>
    <w:rsid w:val="00174F1F"/>
    <w:rsid w:val="00197DC6"/>
    <w:rsid w:val="001A1815"/>
    <w:rsid w:val="001A3961"/>
    <w:rsid w:val="002806A4"/>
    <w:rsid w:val="00282AAB"/>
    <w:rsid w:val="002E6E13"/>
    <w:rsid w:val="003A375A"/>
    <w:rsid w:val="003C5E29"/>
    <w:rsid w:val="003E3139"/>
    <w:rsid w:val="00451B4A"/>
    <w:rsid w:val="00474225"/>
    <w:rsid w:val="00477EF0"/>
    <w:rsid w:val="004902CC"/>
    <w:rsid w:val="00496FF5"/>
    <w:rsid w:val="004B0D8F"/>
    <w:rsid w:val="004D0F26"/>
    <w:rsid w:val="00593AD7"/>
    <w:rsid w:val="005D6118"/>
    <w:rsid w:val="00607AB3"/>
    <w:rsid w:val="0061602F"/>
    <w:rsid w:val="006C4EC2"/>
    <w:rsid w:val="006D0F96"/>
    <w:rsid w:val="006D3D7E"/>
    <w:rsid w:val="00791211"/>
    <w:rsid w:val="00816026"/>
    <w:rsid w:val="00821C55"/>
    <w:rsid w:val="00836113"/>
    <w:rsid w:val="00885A2B"/>
    <w:rsid w:val="00890277"/>
    <w:rsid w:val="008A5D56"/>
    <w:rsid w:val="008C30E2"/>
    <w:rsid w:val="00950473"/>
    <w:rsid w:val="00991E1D"/>
    <w:rsid w:val="00A04947"/>
    <w:rsid w:val="00A17099"/>
    <w:rsid w:val="00A5035A"/>
    <w:rsid w:val="00A64C2A"/>
    <w:rsid w:val="00A7339E"/>
    <w:rsid w:val="00A850B3"/>
    <w:rsid w:val="00C523C8"/>
    <w:rsid w:val="00C71D1F"/>
    <w:rsid w:val="00C72C5F"/>
    <w:rsid w:val="00C90B7E"/>
    <w:rsid w:val="00D51AD0"/>
    <w:rsid w:val="00DA70A4"/>
    <w:rsid w:val="00DB2C07"/>
    <w:rsid w:val="00E17FD4"/>
    <w:rsid w:val="00E216E4"/>
    <w:rsid w:val="00E458CA"/>
    <w:rsid w:val="00EC3828"/>
    <w:rsid w:val="00ED6F43"/>
    <w:rsid w:val="00F13B28"/>
    <w:rsid w:val="00F55159"/>
    <w:rsid w:val="00F61EE0"/>
    <w:rsid w:val="00F9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379A"/>
  <w15:chartTrackingRefBased/>
  <w15:docId w15:val="{E8FF75EA-3D43-46AC-A998-69A86241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ext">
    <w:name w:val="doc__text"/>
    <w:basedOn w:val="a"/>
    <w:rsid w:val="00A1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7099"/>
    <w:rPr>
      <w:color w:val="0000FF"/>
      <w:u w:val="single"/>
    </w:rPr>
  </w:style>
  <w:style w:type="paragraph" w:customStyle="1" w:styleId="docfooteritem">
    <w:name w:val="doc_footer__item"/>
    <w:basedOn w:val="a"/>
    <w:rsid w:val="00A1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l27r">
    <w:name w:val="yl27r"/>
    <w:basedOn w:val="a"/>
    <w:rsid w:val="00E4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64C2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6A7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9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a-ratings.ru/research/2749/" TargetMode="External"/><Relationship Id="rId13" Type="http://schemas.openxmlformats.org/officeDocument/2006/relationships/hyperlink" Target="https://infragreen.ru/frontend/images/PDF/INFRAGREEN_Green_finance_ESG_Russia_2023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cbr.ru/Content/Document/File/143773/onfr_2023-2025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www.kommersant.ru/doc/64132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ragreen.ru/news/135774" TargetMode="External"/><Relationship Id="rId10" Type="http://schemas.openxmlformats.org/officeDocument/2006/relationships/hyperlink" Target="https://raexpert.ru/researches/sus_dev/esg_2023/" TargetMode="External"/><Relationship Id="rId4" Type="http://schemas.openxmlformats.org/officeDocument/2006/relationships/settings" Target="settings.xml"/><Relationship Id="rId9" Type="http://schemas.openxmlformats.org/officeDocument/2006/relationships/hyperlink" Target="&#1041;&#1091;&#1076;&#1091;&#1097;&#1077;&#1077;%20&#1088;&#1099;&#1085;&#1082;&#1072;%20&#1091;&#1089;&#1090;&#1086;&#1081;&#1095;&#1080;&#1074;&#1086;&#1075;&#1086;%20&#1092;&#1080;&#1085;&#1072;&#1085;&#1089;&#1080;&#1088;&#1086;&#1074;&#1072;&#1085;&#1080;&#1103;:%20&#1096;&#1086;&#1082;%20&#1087;&#1088;&#1086;&#1096;&#1077;&#1083;%20&#8211;%20&#1074;&#1077;&#1088;&#1085;&#1091;&#1083;&#1080;&#1089;&#1100;%20&#1082;%20&#1088;&#1086;&#1089;&#1090;&#1091;.%20URL:%20" TargetMode="External"/><Relationship Id="rId14" Type="http://schemas.openxmlformats.org/officeDocument/2006/relationships/hyperlink" Target="https://infragreen.ru/news/135774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Объем размещений </a:t>
            </a:r>
            <a:r>
              <a:rPr lang="en-US" sz="16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ESG-</a:t>
            </a:r>
            <a:r>
              <a:rPr lang="ru-RU" sz="16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облигаций российскими эмитентами, млрд руб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Объем размещений ESG-облигаций российскими эмитентами, млрд руб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pattFill prst="wdUpDiag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A3-4644-ABC9-C0AB46A705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Sheet1!$A$5:$A$10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Sheet1!$B$5:$B$10</c:f>
              <c:numCache>
                <c:formatCode>General</c:formatCode>
                <c:ptCount val="6"/>
                <c:pt idx="0">
                  <c:v>1</c:v>
                </c:pt>
                <c:pt idx="1">
                  <c:v>37</c:v>
                </c:pt>
                <c:pt idx="2">
                  <c:v>169</c:v>
                </c:pt>
                <c:pt idx="3">
                  <c:v>212</c:v>
                </c:pt>
                <c:pt idx="4">
                  <c:v>106</c:v>
                </c:pt>
                <c:pt idx="5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A3-4644-ABC9-C0AB46A70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7522832"/>
        <c:axId val="647524912"/>
      </c:barChart>
      <c:catAx>
        <c:axId val="64752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7524912"/>
        <c:crosses val="autoZero"/>
        <c:auto val="1"/>
        <c:lblAlgn val="ctr"/>
        <c:lblOffset val="100"/>
        <c:noMultiLvlLbl val="0"/>
      </c:catAx>
      <c:valAx>
        <c:axId val="64752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752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19B5-9714-4AD3-B344-DB3F80CB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Макарова</dc:creator>
  <cp:keywords/>
  <dc:description/>
  <cp:lastModifiedBy>Оксана Макарова</cp:lastModifiedBy>
  <cp:revision>40</cp:revision>
  <dcterms:created xsi:type="dcterms:W3CDTF">2024-03-02T07:15:00Z</dcterms:created>
  <dcterms:modified xsi:type="dcterms:W3CDTF">2024-03-09T06:56:00Z</dcterms:modified>
</cp:coreProperties>
</file>