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42" w:rsidRPr="005823CD" w:rsidRDefault="00790C42" w:rsidP="00790C42">
      <w:pPr>
        <w:widowControl w:val="0"/>
        <w:tabs>
          <w:tab w:val="left" w:pos="709"/>
        </w:tabs>
        <w:spacing w:after="0" w:line="360" w:lineRule="auto"/>
        <w:rPr>
          <w:rFonts w:ascii="Times New Roman" w:eastAsia="Times New Roman" w:hAnsi="Times New Roman" w:cs="Times New Roman"/>
          <w:sz w:val="28"/>
          <w:szCs w:val="28"/>
        </w:rPr>
      </w:pPr>
      <w:r w:rsidRPr="005823CD">
        <w:rPr>
          <w:rFonts w:ascii="Times New Roman" w:eastAsia="Times New Roman" w:hAnsi="Times New Roman" w:cs="Times New Roman"/>
          <w:b/>
          <w:bCs/>
          <w:color w:val="000000"/>
          <w:sz w:val="28"/>
          <w:szCs w:val="28"/>
        </w:rPr>
        <w:t>Кудашов Н.О.</w:t>
      </w:r>
      <w:r w:rsidRPr="005823CD">
        <w:rPr>
          <w:rFonts w:ascii="Times New Roman" w:eastAsia="Times New Roman" w:hAnsi="Times New Roman" w:cs="Times New Roman"/>
          <w:sz w:val="28"/>
          <w:szCs w:val="28"/>
        </w:rPr>
        <w:t>,</w:t>
      </w:r>
    </w:p>
    <w:p w:rsidR="00790C42" w:rsidRDefault="00790C42" w:rsidP="00790C42">
      <w:pPr>
        <w:widowControl w:val="0"/>
        <w:tabs>
          <w:tab w:val="left" w:pos="709"/>
        </w:tabs>
        <w:spacing w:after="0" w:line="360" w:lineRule="auto"/>
        <w:rPr>
          <w:rFonts w:ascii="Times New Roman" w:eastAsia="Times New Roman" w:hAnsi="Times New Roman" w:cs="Times New Roman"/>
          <w:color w:val="000000"/>
          <w:sz w:val="28"/>
          <w:szCs w:val="28"/>
        </w:rPr>
      </w:pPr>
      <w:proofErr w:type="spellStart"/>
      <w:r w:rsidRPr="005823CD">
        <w:rPr>
          <w:rFonts w:ascii="Times New Roman" w:eastAsia="Times New Roman" w:hAnsi="Times New Roman" w:cs="Times New Roman"/>
          <w:sz w:val="28"/>
          <w:szCs w:val="28"/>
          <w:lang w:val="en-US"/>
        </w:rPr>
        <w:t>kudashov</w:t>
      </w:r>
      <w:proofErr w:type="spellEnd"/>
      <w:r w:rsidRPr="005823CD">
        <w:rPr>
          <w:rFonts w:ascii="Times New Roman" w:eastAsia="Times New Roman" w:hAnsi="Times New Roman" w:cs="Times New Roman"/>
          <w:sz w:val="28"/>
          <w:szCs w:val="28"/>
        </w:rPr>
        <w:t>.</w:t>
      </w:r>
      <w:proofErr w:type="spellStart"/>
      <w:r w:rsidRPr="005823CD">
        <w:rPr>
          <w:rFonts w:ascii="Times New Roman" w:eastAsia="Times New Roman" w:hAnsi="Times New Roman" w:cs="Times New Roman"/>
          <w:sz w:val="28"/>
          <w:szCs w:val="28"/>
          <w:lang w:val="en-US"/>
        </w:rPr>
        <w:t>nikolai</w:t>
      </w:r>
      <w:proofErr w:type="spellEnd"/>
      <w:r w:rsidRPr="005823CD">
        <w:rPr>
          <w:rFonts w:ascii="Times New Roman" w:eastAsia="Times New Roman" w:hAnsi="Times New Roman" w:cs="Times New Roman"/>
          <w:sz w:val="28"/>
          <w:szCs w:val="28"/>
        </w:rPr>
        <w:t>@</w:t>
      </w:r>
      <w:r w:rsidRPr="005823CD">
        <w:rPr>
          <w:rFonts w:ascii="Times New Roman" w:eastAsia="Times New Roman" w:hAnsi="Times New Roman" w:cs="Times New Roman"/>
          <w:sz w:val="28"/>
          <w:szCs w:val="28"/>
          <w:lang w:val="en-US"/>
        </w:rPr>
        <w:t>list</w:t>
      </w:r>
      <w:r w:rsidRPr="005823CD">
        <w:rPr>
          <w:rFonts w:ascii="Times New Roman" w:eastAsia="Times New Roman" w:hAnsi="Times New Roman" w:cs="Times New Roman"/>
          <w:sz w:val="28"/>
          <w:szCs w:val="28"/>
        </w:rPr>
        <w:t>.</w:t>
      </w:r>
      <w:proofErr w:type="spellStart"/>
      <w:r w:rsidRPr="005823CD">
        <w:rPr>
          <w:rFonts w:ascii="Times New Roman" w:eastAsia="Times New Roman" w:hAnsi="Times New Roman" w:cs="Times New Roman"/>
          <w:sz w:val="28"/>
          <w:szCs w:val="28"/>
          <w:lang w:val="en-US"/>
        </w:rPr>
        <w:t>ru</w:t>
      </w:r>
      <w:proofErr w:type="spellEnd"/>
      <w:r w:rsidRPr="005823CD">
        <w:rPr>
          <w:rFonts w:ascii="Times New Roman" w:eastAsia="Times New Roman" w:hAnsi="Times New Roman" w:cs="Times New Roman"/>
          <w:b/>
          <w:bCs/>
          <w:color w:val="000000"/>
          <w:sz w:val="28"/>
          <w:szCs w:val="28"/>
        </w:rPr>
        <w:br/>
      </w:r>
      <w:r w:rsidRPr="005823CD">
        <w:rPr>
          <w:rFonts w:ascii="Times New Roman" w:eastAsia="Times New Roman" w:hAnsi="Times New Roman" w:cs="Times New Roman"/>
          <w:color w:val="000000"/>
          <w:sz w:val="28"/>
          <w:szCs w:val="28"/>
        </w:rPr>
        <w:t>Россия, Санкт-Петербург</w:t>
      </w:r>
      <w:r w:rsidRPr="005823CD">
        <w:rPr>
          <w:rFonts w:ascii="Times New Roman" w:eastAsia="Times New Roman" w:hAnsi="Times New Roman" w:cs="Times New Roman"/>
          <w:color w:val="000000"/>
          <w:sz w:val="28"/>
          <w:szCs w:val="28"/>
        </w:rPr>
        <w:br/>
        <w:t>Международный банковский институт имени Анатолия Собчака</w:t>
      </w:r>
    </w:p>
    <w:p w:rsidR="005823CD" w:rsidRPr="005823CD" w:rsidRDefault="005823CD" w:rsidP="00790C42">
      <w:pPr>
        <w:widowControl w:val="0"/>
        <w:tabs>
          <w:tab w:val="left" w:pos="709"/>
        </w:tabs>
        <w:spacing w:after="0" w:line="360" w:lineRule="auto"/>
        <w:rPr>
          <w:rFonts w:ascii="Times New Roman" w:eastAsia="Times New Roman" w:hAnsi="Times New Roman" w:cs="Times New Roman"/>
          <w:color w:val="000000"/>
          <w:sz w:val="28"/>
          <w:szCs w:val="28"/>
        </w:rPr>
      </w:pPr>
    </w:p>
    <w:p w:rsidR="00790C42" w:rsidRPr="005823CD" w:rsidRDefault="00790C42" w:rsidP="005823CD">
      <w:pPr>
        <w:widowControl w:val="0"/>
        <w:tabs>
          <w:tab w:val="left" w:pos="709"/>
        </w:tabs>
        <w:spacing w:after="0" w:line="360" w:lineRule="auto"/>
        <w:ind w:firstLine="709"/>
        <w:rPr>
          <w:rFonts w:ascii="Times New Roman" w:eastAsia="Times New Roman" w:hAnsi="Times New Roman" w:cs="Times New Roman"/>
          <w:b/>
          <w:color w:val="000000"/>
          <w:sz w:val="24"/>
          <w:szCs w:val="24"/>
        </w:rPr>
      </w:pPr>
      <w:r w:rsidRPr="005823CD">
        <w:rPr>
          <w:rFonts w:ascii="Times New Roman" w:eastAsia="Times New Roman" w:hAnsi="Times New Roman" w:cs="Times New Roman"/>
          <w:b/>
          <w:color w:val="000000"/>
          <w:sz w:val="24"/>
          <w:szCs w:val="24"/>
        </w:rPr>
        <w:t xml:space="preserve">Аннотация </w:t>
      </w:r>
    </w:p>
    <w:p w:rsidR="00790C42" w:rsidRPr="005823CD" w:rsidRDefault="00790C42" w:rsidP="005823CD">
      <w:pPr>
        <w:widowControl w:val="0"/>
        <w:tabs>
          <w:tab w:val="left" w:pos="709"/>
        </w:tabs>
        <w:spacing w:after="0" w:line="360" w:lineRule="auto"/>
        <w:ind w:firstLine="709"/>
        <w:jc w:val="both"/>
        <w:rPr>
          <w:rFonts w:ascii="Times New Roman" w:eastAsia="Times New Roman" w:hAnsi="Times New Roman" w:cs="Times New Roman"/>
          <w:color w:val="000000"/>
          <w:sz w:val="24"/>
          <w:szCs w:val="24"/>
        </w:rPr>
      </w:pPr>
      <w:r w:rsidRPr="005823CD">
        <w:rPr>
          <w:rFonts w:ascii="Times New Roman" w:eastAsia="Times New Roman" w:hAnsi="Times New Roman" w:cs="Times New Roman"/>
          <w:color w:val="000000"/>
          <w:sz w:val="24"/>
          <w:szCs w:val="24"/>
        </w:rPr>
        <w:t>Как перед Россией, так и перед другими странами стоит немаловажная задача по улучшению жизни населения, а также созданию благоприятных условий в будущем. Решение данной проблемы будет способствовать устойчивому развитию страны, основанной на принципах «зелёной» экономики.</w:t>
      </w:r>
    </w:p>
    <w:p w:rsidR="00790C42" w:rsidRPr="005823CD" w:rsidRDefault="00790C42" w:rsidP="005823CD">
      <w:pPr>
        <w:widowControl w:val="0"/>
        <w:tabs>
          <w:tab w:val="left" w:pos="709"/>
        </w:tabs>
        <w:spacing w:after="0" w:line="360" w:lineRule="auto"/>
        <w:ind w:firstLine="709"/>
        <w:rPr>
          <w:rFonts w:ascii="Times New Roman" w:eastAsia="Times New Roman" w:hAnsi="Times New Roman" w:cs="Times New Roman"/>
          <w:b/>
          <w:color w:val="000000"/>
          <w:sz w:val="24"/>
          <w:szCs w:val="24"/>
        </w:rPr>
      </w:pPr>
      <w:r w:rsidRPr="005823CD">
        <w:rPr>
          <w:rFonts w:ascii="Times New Roman" w:eastAsia="Times New Roman" w:hAnsi="Times New Roman" w:cs="Times New Roman"/>
          <w:b/>
          <w:color w:val="000000"/>
          <w:sz w:val="24"/>
          <w:szCs w:val="24"/>
        </w:rPr>
        <w:t>Ключевые слова</w:t>
      </w:r>
    </w:p>
    <w:p w:rsidR="00790C42" w:rsidRPr="005823CD" w:rsidRDefault="00790C42" w:rsidP="005823CD">
      <w:pPr>
        <w:widowControl w:val="0"/>
        <w:tabs>
          <w:tab w:val="left" w:pos="709"/>
        </w:tabs>
        <w:spacing w:after="0" w:line="360" w:lineRule="auto"/>
        <w:ind w:firstLine="709"/>
        <w:rPr>
          <w:rFonts w:ascii="Times New Roman" w:eastAsia="Times New Roman" w:hAnsi="Times New Roman" w:cs="Times New Roman"/>
          <w:color w:val="000000"/>
          <w:sz w:val="28"/>
          <w:szCs w:val="28"/>
        </w:rPr>
      </w:pPr>
      <w:r w:rsidRPr="005823CD">
        <w:rPr>
          <w:rFonts w:ascii="Times New Roman" w:eastAsia="Times New Roman" w:hAnsi="Times New Roman" w:cs="Times New Roman"/>
          <w:color w:val="000000"/>
          <w:sz w:val="24"/>
          <w:szCs w:val="24"/>
        </w:rPr>
        <w:t xml:space="preserve">Зелёные финансы, зелёные облигации, зелёные инвестиционные счета, зелёные банковские карты, </w:t>
      </w:r>
      <w:proofErr w:type="spellStart"/>
      <w:r w:rsidRPr="005823CD">
        <w:rPr>
          <w:rFonts w:ascii="Times New Roman" w:eastAsia="Times New Roman" w:hAnsi="Times New Roman" w:cs="Times New Roman"/>
          <w:color w:val="000000"/>
          <w:sz w:val="24"/>
          <w:szCs w:val="24"/>
        </w:rPr>
        <w:t>цифровизация</w:t>
      </w:r>
      <w:proofErr w:type="spellEnd"/>
    </w:p>
    <w:p w:rsidR="00790C42" w:rsidRPr="005823CD" w:rsidRDefault="00790C42" w:rsidP="00790C42">
      <w:pPr>
        <w:widowControl w:val="0"/>
        <w:tabs>
          <w:tab w:val="left" w:pos="709"/>
        </w:tabs>
        <w:spacing w:after="0" w:line="360" w:lineRule="auto"/>
        <w:rPr>
          <w:rFonts w:ascii="Times New Roman" w:eastAsia="Times New Roman" w:hAnsi="Times New Roman" w:cs="Times New Roman"/>
          <w:b/>
          <w:color w:val="000000"/>
          <w:sz w:val="28"/>
          <w:szCs w:val="28"/>
        </w:rPr>
      </w:pPr>
    </w:p>
    <w:p w:rsidR="00790C42" w:rsidRPr="005823CD" w:rsidRDefault="00790C42" w:rsidP="00790C42">
      <w:pPr>
        <w:widowControl w:val="0"/>
        <w:tabs>
          <w:tab w:val="left" w:pos="709"/>
        </w:tabs>
        <w:spacing w:after="0" w:line="360" w:lineRule="auto"/>
        <w:jc w:val="center"/>
        <w:rPr>
          <w:rFonts w:ascii="Times New Roman" w:eastAsia="Times New Roman" w:hAnsi="Times New Roman" w:cs="Times New Roman"/>
          <w:b/>
          <w:color w:val="000000"/>
          <w:sz w:val="28"/>
          <w:szCs w:val="28"/>
        </w:rPr>
      </w:pPr>
      <w:r w:rsidRPr="005823CD">
        <w:rPr>
          <w:rFonts w:ascii="Times New Roman" w:eastAsia="Times New Roman" w:hAnsi="Times New Roman" w:cs="Times New Roman"/>
          <w:b/>
          <w:color w:val="000000"/>
          <w:sz w:val="28"/>
          <w:szCs w:val="28"/>
        </w:rPr>
        <w:t>ИНСТРУМЕНТЫ ЗЕЛЁНОГО ФИНАНСИРОВАНИЯ: ПОДХОДЫ К КЛАССИФИКАЦИИ</w:t>
      </w:r>
    </w:p>
    <w:p w:rsidR="00790C42" w:rsidRPr="005823CD" w:rsidRDefault="00790C42" w:rsidP="00790C42">
      <w:pPr>
        <w:widowControl w:val="0"/>
        <w:tabs>
          <w:tab w:val="left" w:pos="709"/>
        </w:tabs>
        <w:spacing w:after="0" w:line="360" w:lineRule="auto"/>
        <w:rPr>
          <w:rFonts w:ascii="Times New Roman" w:eastAsia="Times New Roman" w:hAnsi="Times New Roman" w:cs="Times New Roman"/>
          <w:b/>
          <w:color w:val="000000"/>
          <w:sz w:val="28"/>
          <w:szCs w:val="28"/>
          <w:lang w:val="en-US"/>
        </w:rPr>
      </w:pPr>
      <w:proofErr w:type="spellStart"/>
      <w:r w:rsidRPr="005823CD">
        <w:rPr>
          <w:rFonts w:ascii="Times New Roman" w:eastAsia="Times New Roman" w:hAnsi="Times New Roman" w:cs="Times New Roman"/>
          <w:b/>
          <w:color w:val="000000"/>
          <w:sz w:val="28"/>
          <w:szCs w:val="28"/>
          <w:lang w:val="en-US"/>
        </w:rPr>
        <w:t>Kudashov</w:t>
      </w:r>
      <w:proofErr w:type="spellEnd"/>
      <w:r w:rsidRPr="005823CD">
        <w:rPr>
          <w:rFonts w:ascii="Times New Roman" w:eastAsia="Times New Roman" w:hAnsi="Times New Roman" w:cs="Times New Roman"/>
          <w:b/>
          <w:color w:val="000000"/>
          <w:sz w:val="28"/>
          <w:szCs w:val="28"/>
          <w:lang w:val="en-US"/>
        </w:rPr>
        <w:t xml:space="preserve"> N.O.</w:t>
      </w:r>
    </w:p>
    <w:p w:rsidR="00790C42" w:rsidRPr="005823CD" w:rsidRDefault="005823CD" w:rsidP="00790C42">
      <w:pPr>
        <w:widowControl w:val="0"/>
        <w:tabs>
          <w:tab w:val="left" w:pos="709"/>
        </w:tabs>
        <w:spacing w:after="0" w:line="360" w:lineRule="auto"/>
        <w:rPr>
          <w:rFonts w:ascii="Times New Roman" w:eastAsia="Times New Roman" w:hAnsi="Times New Roman" w:cs="Times New Roman"/>
          <w:sz w:val="28"/>
          <w:szCs w:val="28"/>
          <w:lang w:val="en-US"/>
        </w:rPr>
      </w:pPr>
      <w:hyperlink r:id="rId5" w:history="1">
        <w:r w:rsidR="00790C42" w:rsidRPr="005823CD">
          <w:rPr>
            <w:rStyle w:val="a3"/>
            <w:rFonts w:ascii="Times New Roman" w:eastAsia="Times New Roman" w:hAnsi="Times New Roman" w:cs="Times New Roman"/>
            <w:sz w:val="28"/>
            <w:szCs w:val="28"/>
            <w:lang w:val="en-US"/>
          </w:rPr>
          <w:t>kudashov.nikolai@list.ru</w:t>
        </w:r>
      </w:hyperlink>
    </w:p>
    <w:p w:rsidR="00790C42" w:rsidRPr="005823CD" w:rsidRDefault="00790C42" w:rsidP="00790C42">
      <w:pPr>
        <w:widowControl w:val="0"/>
        <w:tabs>
          <w:tab w:val="left" w:pos="709"/>
        </w:tabs>
        <w:spacing w:after="0" w:line="360" w:lineRule="auto"/>
        <w:rPr>
          <w:rFonts w:ascii="Times New Roman" w:eastAsia="Times New Roman" w:hAnsi="Times New Roman" w:cs="Times New Roman"/>
          <w:sz w:val="28"/>
          <w:szCs w:val="28"/>
          <w:lang w:val="en-US"/>
        </w:rPr>
      </w:pPr>
      <w:r w:rsidRPr="005823CD">
        <w:rPr>
          <w:rFonts w:ascii="Times New Roman" w:eastAsia="Times New Roman" w:hAnsi="Times New Roman" w:cs="Times New Roman"/>
          <w:sz w:val="28"/>
          <w:szCs w:val="28"/>
          <w:lang w:val="en-US"/>
        </w:rPr>
        <w:t>Russia, Saint-Petersburg</w:t>
      </w:r>
    </w:p>
    <w:p w:rsidR="00790C42" w:rsidRPr="005823CD" w:rsidRDefault="00790C42" w:rsidP="00790C42">
      <w:pPr>
        <w:widowControl w:val="0"/>
        <w:tabs>
          <w:tab w:val="left" w:pos="709"/>
        </w:tabs>
        <w:spacing w:after="0" w:line="360" w:lineRule="auto"/>
        <w:rPr>
          <w:rFonts w:ascii="Times New Roman" w:eastAsia="Times New Roman" w:hAnsi="Times New Roman" w:cs="Times New Roman"/>
          <w:sz w:val="28"/>
          <w:szCs w:val="28"/>
          <w:lang w:val="en-US"/>
        </w:rPr>
      </w:pPr>
      <w:r w:rsidRPr="005823CD">
        <w:rPr>
          <w:rFonts w:ascii="Times New Roman" w:eastAsia="Times New Roman" w:hAnsi="Times New Roman" w:cs="Times New Roman"/>
          <w:sz w:val="28"/>
          <w:szCs w:val="28"/>
          <w:lang w:val="en-US"/>
        </w:rPr>
        <w:t xml:space="preserve">International Banking Institute named After </w:t>
      </w:r>
      <w:proofErr w:type="spellStart"/>
      <w:r w:rsidRPr="005823CD">
        <w:rPr>
          <w:rFonts w:ascii="Times New Roman" w:eastAsia="Times New Roman" w:hAnsi="Times New Roman" w:cs="Times New Roman"/>
          <w:sz w:val="28"/>
          <w:szCs w:val="28"/>
          <w:lang w:val="en-US"/>
        </w:rPr>
        <w:t>Anatoliy</w:t>
      </w:r>
      <w:proofErr w:type="spellEnd"/>
      <w:r w:rsidRPr="005823CD">
        <w:rPr>
          <w:rFonts w:ascii="Times New Roman" w:eastAsia="Times New Roman" w:hAnsi="Times New Roman" w:cs="Times New Roman"/>
          <w:sz w:val="28"/>
          <w:szCs w:val="28"/>
          <w:lang w:val="en-US"/>
        </w:rPr>
        <w:t xml:space="preserve"> </w:t>
      </w:r>
      <w:proofErr w:type="spellStart"/>
      <w:r w:rsidRPr="005823CD">
        <w:rPr>
          <w:rFonts w:ascii="Times New Roman" w:eastAsia="Times New Roman" w:hAnsi="Times New Roman" w:cs="Times New Roman"/>
          <w:sz w:val="28"/>
          <w:szCs w:val="28"/>
          <w:lang w:val="en-US"/>
        </w:rPr>
        <w:t>Sobchak</w:t>
      </w:r>
      <w:proofErr w:type="spellEnd"/>
      <w:r w:rsidRPr="005823CD">
        <w:rPr>
          <w:rFonts w:ascii="Times New Roman" w:eastAsia="Times New Roman" w:hAnsi="Times New Roman" w:cs="Times New Roman"/>
          <w:sz w:val="28"/>
          <w:szCs w:val="28"/>
          <w:lang w:val="en-US"/>
        </w:rPr>
        <w:t xml:space="preserve"> </w:t>
      </w:r>
    </w:p>
    <w:p w:rsidR="00790C42" w:rsidRPr="005823CD" w:rsidRDefault="00790C42" w:rsidP="00790C42">
      <w:pPr>
        <w:widowControl w:val="0"/>
        <w:tabs>
          <w:tab w:val="left" w:pos="709"/>
        </w:tabs>
        <w:spacing w:after="0" w:line="360" w:lineRule="auto"/>
        <w:rPr>
          <w:rFonts w:ascii="Times New Roman" w:eastAsia="Times New Roman" w:hAnsi="Times New Roman" w:cs="Times New Roman"/>
          <w:sz w:val="28"/>
          <w:szCs w:val="28"/>
          <w:lang w:val="en-US"/>
        </w:rPr>
      </w:pPr>
    </w:p>
    <w:p w:rsidR="00790C42" w:rsidRPr="005823CD" w:rsidRDefault="00790C42" w:rsidP="005823CD">
      <w:pPr>
        <w:widowControl w:val="0"/>
        <w:tabs>
          <w:tab w:val="left" w:pos="709"/>
        </w:tabs>
        <w:spacing w:after="0" w:line="360" w:lineRule="auto"/>
        <w:ind w:firstLine="709"/>
        <w:rPr>
          <w:rFonts w:ascii="Times New Roman" w:eastAsia="Times New Roman" w:hAnsi="Times New Roman" w:cs="Times New Roman"/>
          <w:b/>
          <w:sz w:val="24"/>
          <w:szCs w:val="24"/>
          <w:lang w:val="en-US"/>
        </w:rPr>
      </w:pPr>
      <w:bookmarkStart w:id="0" w:name="_GoBack"/>
      <w:r w:rsidRPr="005823CD">
        <w:rPr>
          <w:rFonts w:ascii="Times New Roman" w:eastAsia="Times New Roman" w:hAnsi="Times New Roman" w:cs="Times New Roman"/>
          <w:b/>
          <w:sz w:val="24"/>
          <w:szCs w:val="24"/>
          <w:lang w:val="en-US"/>
        </w:rPr>
        <w:t xml:space="preserve">Abstract </w:t>
      </w:r>
    </w:p>
    <w:p w:rsidR="00790C42" w:rsidRPr="005823CD" w:rsidRDefault="00790C42" w:rsidP="005823CD">
      <w:pPr>
        <w:widowControl w:val="0"/>
        <w:tabs>
          <w:tab w:val="left" w:pos="709"/>
        </w:tabs>
        <w:spacing w:after="0" w:line="360" w:lineRule="auto"/>
        <w:ind w:firstLine="709"/>
        <w:jc w:val="both"/>
        <w:rPr>
          <w:rFonts w:ascii="Times New Roman" w:eastAsia="Times New Roman" w:hAnsi="Times New Roman" w:cs="Times New Roman"/>
          <w:sz w:val="24"/>
          <w:szCs w:val="24"/>
          <w:lang w:val="en-US"/>
        </w:rPr>
      </w:pPr>
      <w:r w:rsidRPr="005823CD">
        <w:rPr>
          <w:rFonts w:ascii="Times New Roman" w:eastAsia="Times New Roman" w:hAnsi="Times New Roman" w:cs="Times New Roman"/>
          <w:sz w:val="24"/>
          <w:szCs w:val="24"/>
          <w:lang w:val="en-US"/>
        </w:rPr>
        <w:t>Both Russia and other countries face an important task of improving the life of the population, as well as creating favorable conditions in the future. The solution of this problem will contribute to the sustainable development of the country, based on the principles of the "green" economy.</w:t>
      </w:r>
    </w:p>
    <w:p w:rsidR="00790C42" w:rsidRPr="005823CD" w:rsidRDefault="00790C42" w:rsidP="005823CD">
      <w:pPr>
        <w:widowControl w:val="0"/>
        <w:tabs>
          <w:tab w:val="left" w:pos="709"/>
        </w:tabs>
        <w:spacing w:after="0" w:line="360" w:lineRule="auto"/>
        <w:ind w:firstLine="709"/>
        <w:rPr>
          <w:rFonts w:ascii="Times New Roman" w:eastAsia="Times New Roman" w:hAnsi="Times New Roman" w:cs="Times New Roman"/>
          <w:b/>
          <w:sz w:val="24"/>
          <w:szCs w:val="24"/>
          <w:lang w:val="en-US"/>
        </w:rPr>
      </w:pPr>
      <w:r w:rsidRPr="005823CD">
        <w:rPr>
          <w:rFonts w:ascii="Times New Roman" w:eastAsia="Times New Roman" w:hAnsi="Times New Roman" w:cs="Times New Roman"/>
          <w:b/>
          <w:sz w:val="24"/>
          <w:szCs w:val="24"/>
          <w:lang w:val="en-US"/>
        </w:rPr>
        <w:t>Keywords</w:t>
      </w:r>
    </w:p>
    <w:p w:rsidR="00790C42" w:rsidRPr="005823CD" w:rsidRDefault="00790C42" w:rsidP="005823CD">
      <w:pPr>
        <w:widowControl w:val="0"/>
        <w:tabs>
          <w:tab w:val="left" w:pos="709"/>
        </w:tabs>
        <w:spacing w:after="0" w:line="360" w:lineRule="auto"/>
        <w:ind w:firstLine="709"/>
        <w:rPr>
          <w:rFonts w:ascii="Times New Roman" w:eastAsia="Times New Roman" w:hAnsi="Times New Roman" w:cs="Times New Roman"/>
          <w:sz w:val="24"/>
          <w:szCs w:val="24"/>
          <w:lang w:val="en-US"/>
        </w:rPr>
      </w:pPr>
      <w:r w:rsidRPr="005823CD">
        <w:rPr>
          <w:rFonts w:ascii="Times New Roman" w:eastAsia="Times New Roman" w:hAnsi="Times New Roman" w:cs="Times New Roman"/>
          <w:sz w:val="24"/>
          <w:szCs w:val="24"/>
          <w:lang w:val="en-US"/>
        </w:rPr>
        <w:t>Green finance, green bonds, green investment accounts, green bank cards, digitalization</w:t>
      </w:r>
    </w:p>
    <w:bookmarkEnd w:id="0"/>
    <w:p w:rsidR="00790C42" w:rsidRDefault="00790C42" w:rsidP="00A477FE">
      <w:pPr>
        <w:widowControl w:val="0"/>
        <w:tabs>
          <w:tab w:val="left" w:pos="709"/>
        </w:tabs>
        <w:spacing w:after="0" w:line="360" w:lineRule="auto"/>
        <w:jc w:val="center"/>
        <w:rPr>
          <w:rFonts w:ascii="Times New Roman" w:eastAsia="Times New Roman" w:hAnsi="Times New Roman" w:cs="Times New Roman"/>
          <w:b/>
          <w:color w:val="000000"/>
          <w:sz w:val="28"/>
          <w:szCs w:val="28"/>
          <w:lang w:val="en-US"/>
        </w:rPr>
      </w:pPr>
      <w:r w:rsidRPr="005823CD">
        <w:rPr>
          <w:rFonts w:ascii="Times New Roman" w:eastAsia="Times New Roman" w:hAnsi="Times New Roman" w:cs="Times New Roman"/>
          <w:b/>
          <w:color w:val="000000"/>
          <w:sz w:val="28"/>
          <w:szCs w:val="28"/>
          <w:lang w:val="en-US"/>
        </w:rPr>
        <w:t>GREEN FINANCING INSTRUMENTS: APPROACHES TO CLASSIFICATION</w:t>
      </w:r>
    </w:p>
    <w:p w:rsidR="005823CD" w:rsidRPr="005823CD" w:rsidRDefault="005823CD" w:rsidP="00A477FE">
      <w:pPr>
        <w:widowControl w:val="0"/>
        <w:tabs>
          <w:tab w:val="left" w:pos="709"/>
        </w:tabs>
        <w:spacing w:after="0" w:line="360" w:lineRule="auto"/>
        <w:jc w:val="center"/>
        <w:rPr>
          <w:rFonts w:ascii="Times New Roman" w:eastAsia="Times New Roman" w:hAnsi="Times New Roman" w:cs="Times New Roman"/>
          <w:b/>
          <w:color w:val="000000"/>
          <w:sz w:val="28"/>
          <w:szCs w:val="28"/>
          <w:lang w:val="en-US"/>
        </w:rPr>
      </w:pPr>
    </w:p>
    <w:p w:rsidR="00132091"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sidRPr="00790C42">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rPr>
        <w:t xml:space="preserve">В настоящий период времени в России и в мировой практике </w:t>
      </w:r>
      <w:r>
        <w:rPr>
          <w:rFonts w:ascii="Times New Roman" w:eastAsia="Times New Roman" w:hAnsi="Times New Roman" w:cs="Times New Roman"/>
          <w:sz w:val="28"/>
          <w:szCs w:val="28"/>
        </w:rPr>
        <w:lastRenderedPageBreak/>
        <w:t>применяются следующие основные инструменты зеленого финансирования:</w:t>
      </w:r>
    </w:p>
    <w:p w:rsidR="00132091" w:rsidRDefault="00132091" w:rsidP="00132091">
      <w:pPr>
        <w:widowControl w:val="0"/>
        <w:numPr>
          <w:ilvl w:val="0"/>
          <w:numId w:val="1"/>
        </w:numPr>
        <w:spacing w:after="0" w:line="360" w:lineRule="auto"/>
        <w:ind w:left="0" w:firstLine="360"/>
        <w:jc w:val="both"/>
        <w:rPr>
          <w:color w:val="000000"/>
          <w:sz w:val="28"/>
          <w:szCs w:val="28"/>
        </w:rPr>
      </w:pPr>
      <w:r>
        <w:rPr>
          <w:rFonts w:ascii="Times New Roman" w:eastAsia="Times New Roman" w:hAnsi="Times New Roman" w:cs="Times New Roman"/>
          <w:color w:val="000000"/>
          <w:sz w:val="28"/>
          <w:szCs w:val="28"/>
        </w:rPr>
        <w:t>зеленые облигации (климатические, экологические облигации);</w:t>
      </w:r>
    </w:p>
    <w:p w:rsidR="00132091" w:rsidRDefault="00132091" w:rsidP="00132091">
      <w:pPr>
        <w:widowControl w:val="0"/>
        <w:numPr>
          <w:ilvl w:val="0"/>
          <w:numId w:val="1"/>
        </w:numPr>
        <w:spacing w:after="0" w:line="360" w:lineRule="auto"/>
        <w:ind w:left="0" w:firstLine="360"/>
        <w:jc w:val="both"/>
        <w:rPr>
          <w:color w:val="000000"/>
          <w:sz w:val="28"/>
          <w:szCs w:val="28"/>
        </w:rPr>
      </w:pPr>
      <w:r>
        <w:rPr>
          <w:rFonts w:ascii="Times New Roman" w:eastAsia="Times New Roman" w:hAnsi="Times New Roman" w:cs="Times New Roman"/>
          <w:color w:val="000000"/>
          <w:sz w:val="28"/>
          <w:szCs w:val="28"/>
        </w:rPr>
        <w:t>зеленые инвестиционные счета, а также зеленые инвестиционные портфели;</w:t>
      </w:r>
    </w:p>
    <w:p w:rsidR="00132091" w:rsidRDefault="00132091" w:rsidP="00132091">
      <w:pPr>
        <w:widowControl w:val="0"/>
        <w:numPr>
          <w:ilvl w:val="0"/>
          <w:numId w:val="1"/>
        </w:numPr>
        <w:spacing w:after="0" w:line="360" w:lineRule="auto"/>
        <w:ind w:left="0" w:firstLine="360"/>
        <w:jc w:val="both"/>
        <w:rPr>
          <w:color w:val="000000"/>
          <w:sz w:val="28"/>
          <w:szCs w:val="28"/>
        </w:rPr>
      </w:pPr>
      <w:r>
        <w:rPr>
          <w:rFonts w:ascii="Times New Roman" w:eastAsia="Times New Roman" w:hAnsi="Times New Roman" w:cs="Times New Roman"/>
          <w:color w:val="000000"/>
          <w:sz w:val="28"/>
          <w:szCs w:val="28"/>
        </w:rPr>
        <w:t>зеленые банковские карты;</w:t>
      </w:r>
    </w:p>
    <w:p w:rsidR="00132091" w:rsidRDefault="00132091" w:rsidP="00132091">
      <w:pPr>
        <w:widowControl w:val="0"/>
        <w:numPr>
          <w:ilvl w:val="0"/>
          <w:numId w:val="1"/>
        </w:numPr>
        <w:spacing w:after="0" w:line="360" w:lineRule="auto"/>
        <w:ind w:left="0" w:firstLine="360"/>
        <w:jc w:val="both"/>
        <w:rPr>
          <w:color w:val="000000"/>
          <w:sz w:val="28"/>
          <w:szCs w:val="28"/>
        </w:rPr>
      </w:pPr>
      <w:r>
        <w:rPr>
          <w:rFonts w:ascii="Times New Roman" w:eastAsia="Times New Roman" w:hAnsi="Times New Roman" w:cs="Times New Roman"/>
          <w:color w:val="000000"/>
          <w:sz w:val="28"/>
          <w:szCs w:val="28"/>
        </w:rPr>
        <w:t xml:space="preserve">продукты банков в области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и др.</w:t>
      </w:r>
    </w:p>
    <w:p w:rsidR="00A477FE"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Зеленые облигации являются одним из наиболее часто используемых инструментов зеленого финансирования, при выпуске которых помимо основных характеристик (купонный доход, сроки обращения, цена) учитывается экологическая оценка проекта. </w:t>
      </w:r>
    </w:p>
    <w:p w:rsidR="00A477FE"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Зеленые инвестиционные счета, а также зеленые инвестиционные портфели также являются инструментами зеленого финансирования.  Примером является вероятное внедрение в Российской Федерации индивидуальных инвестиционных счетов третьего типа.</w:t>
      </w:r>
    </w:p>
    <w:p w:rsidR="00A477FE"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Также среди инструментов зеленого финансирования, необходимо выделить зеленое кредитование. Например, зеленая ипотека представляет собой кредитование жилья, которое соответствует определенным экологическим стандартам.</w:t>
      </w:r>
    </w:p>
    <w:p w:rsidR="00132091"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Также к зеленым финансовым инструментам относятся специальные банковские карты. Например, российский Почта банк предлагает оформить к</w:t>
      </w:r>
    </w:p>
    <w:p w:rsidR="00132091"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сберегательному счету банковскую карту «Зеленый мир». При оплате картой</w:t>
      </w:r>
    </w:p>
    <w:p w:rsidR="00132091" w:rsidRDefault="00132091" w:rsidP="00132091">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каждые потраченные 4 000 рублей банк финансирует посадку одного дерева в одном из национальных парков страны. </w:t>
      </w:r>
    </w:p>
    <w:p w:rsidR="00132091" w:rsidRDefault="00132091" w:rsidP="00790C42">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 инструментам зеленого банкинга можно также отнести и продукты в области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такие как интернет и онлайн-банкинг. Благодаря дистанционному банковскому обслуживанию сокращается бумажный документооборот, что снижает потребление бумаги во время осуществления</w:t>
      </w:r>
    </w:p>
    <w:p w:rsidR="00132091" w:rsidRDefault="00132091" w:rsidP="00790C42">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транзакций. Также клиенты реже посещают банковские отделения, что отражается на частоте пользования личным и общественным транспортом, а</w:t>
      </w:r>
    </w:p>
    <w:p w:rsidR="00132091" w:rsidRDefault="00132091" w:rsidP="00790C42">
      <w:pPr>
        <w:widowControl w:val="0"/>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 сокращает выбросы углекислого газа в атмосферу.</w:t>
      </w:r>
    </w:p>
    <w:p w:rsidR="00201245" w:rsidRPr="00A477FE" w:rsidRDefault="00132091" w:rsidP="00A477FE">
      <w:pPr>
        <w:widowControl w:val="0"/>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мировой практике наблюдается постепенный рост интереса к инструментам зеленого инвестирования. Более того, в условиях активных процессов в области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экономики происходит сращивание информационных продуктов и классических инструментов зеленого банкинга. Тем не менее, многие финансовые институты только начинают знакомится с возможностями экологического менеджмента и существующими экологическими инструментами. В этой связи выработка единых принципов, стандартов и правил работы в области зеленого финансирования и экологического менеджмента в банках на национальном и международном уровне будет иметь решающее значение для развития данного</w:t>
      </w:r>
      <w:r w:rsidR="00A477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направления.</w:t>
      </w:r>
    </w:p>
    <w:sectPr w:rsidR="00201245" w:rsidRPr="00A47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40EB5"/>
    <w:multiLevelType w:val="multilevel"/>
    <w:tmpl w:val="AFB2C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4E7D0E"/>
    <w:multiLevelType w:val="multilevel"/>
    <w:tmpl w:val="96362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1048A3"/>
    <w:multiLevelType w:val="multilevel"/>
    <w:tmpl w:val="91FAA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91"/>
    <w:rsid w:val="000D5D80"/>
    <w:rsid w:val="00132091"/>
    <w:rsid w:val="001D3C23"/>
    <w:rsid w:val="00244541"/>
    <w:rsid w:val="004A6361"/>
    <w:rsid w:val="005823CD"/>
    <w:rsid w:val="007577EE"/>
    <w:rsid w:val="00790C42"/>
    <w:rsid w:val="0085611C"/>
    <w:rsid w:val="00A477FE"/>
    <w:rsid w:val="00B044F1"/>
    <w:rsid w:val="00BC450D"/>
    <w:rsid w:val="00DB001D"/>
    <w:rsid w:val="00EB526C"/>
    <w:rsid w:val="00F7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C276"/>
  <w15:chartTrackingRefBased/>
  <w15:docId w15:val="{977797F0-1F46-481C-B052-8B0ACC43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C42"/>
    <w:pPr>
      <w:spacing w:line="256" w:lineRule="auto"/>
      <w:ind w:firstLine="0"/>
      <w:jc w:val="left"/>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C42"/>
  </w:style>
  <w:style w:type="character" w:customStyle="1" w:styleId="spelle">
    <w:name w:val="spelle"/>
    <w:basedOn w:val="a0"/>
    <w:rsid w:val="00790C42"/>
  </w:style>
  <w:style w:type="paragraph" w:customStyle="1" w:styleId="8">
    <w:name w:val="8"/>
    <w:basedOn w:val="a"/>
    <w:rsid w:val="00790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381">
      <w:bodyDiv w:val="1"/>
      <w:marLeft w:val="0"/>
      <w:marRight w:val="0"/>
      <w:marTop w:val="0"/>
      <w:marBottom w:val="0"/>
      <w:divBdr>
        <w:top w:val="none" w:sz="0" w:space="0" w:color="auto"/>
        <w:left w:val="none" w:sz="0" w:space="0" w:color="auto"/>
        <w:bottom w:val="none" w:sz="0" w:space="0" w:color="auto"/>
        <w:right w:val="none" w:sz="0" w:space="0" w:color="auto"/>
      </w:divBdr>
    </w:div>
    <w:div w:id="444496926">
      <w:bodyDiv w:val="1"/>
      <w:marLeft w:val="0"/>
      <w:marRight w:val="0"/>
      <w:marTop w:val="0"/>
      <w:marBottom w:val="0"/>
      <w:divBdr>
        <w:top w:val="none" w:sz="0" w:space="0" w:color="auto"/>
        <w:left w:val="none" w:sz="0" w:space="0" w:color="auto"/>
        <w:bottom w:val="none" w:sz="0" w:space="0" w:color="auto"/>
        <w:right w:val="none" w:sz="0" w:space="0" w:color="auto"/>
      </w:divBdr>
    </w:div>
    <w:div w:id="525413714">
      <w:bodyDiv w:val="1"/>
      <w:marLeft w:val="0"/>
      <w:marRight w:val="0"/>
      <w:marTop w:val="0"/>
      <w:marBottom w:val="0"/>
      <w:divBdr>
        <w:top w:val="none" w:sz="0" w:space="0" w:color="auto"/>
        <w:left w:val="none" w:sz="0" w:space="0" w:color="auto"/>
        <w:bottom w:val="none" w:sz="0" w:space="0" w:color="auto"/>
        <w:right w:val="none" w:sz="0" w:space="0" w:color="auto"/>
      </w:divBdr>
    </w:div>
    <w:div w:id="646319119">
      <w:bodyDiv w:val="1"/>
      <w:marLeft w:val="0"/>
      <w:marRight w:val="0"/>
      <w:marTop w:val="0"/>
      <w:marBottom w:val="0"/>
      <w:divBdr>
        <w:top w:val="none" w:sz="0" w:space="0" w:color="auto"/>
        <w:left w:val="none" w:sz="0" w:space="0" w:color="auto"/>
        <w:bottom w:val="none" w:sz="0" w:space="0" w:color="auto"/>
        <w:right w:val="none" w:sz="0" w:space="0" w:color="auto"/>
      </w:divBdr>
    </w:div>
    <w:div w:id="1152868624">
      <w:bodyDiv w:val="1"/>
      <w:marLeft w:val="0"/>
      <w:marRight w:val="0"/>
      <w:marTop w:val="0"/>
      <w:marBottom w:val="0"/>
      <w:divBdr>
        <w:top w:val="none" w:sz="0" w:space="0" w:color="auto"/>
        <w:left w:val="none" w:sz="0" w:space="0" w:color="auto"/>
        <w:bottom w:val="none" w:sz="0" w:space="0" w:color="auto"/>
        <w:right w:val="none" w:sz="0" w:space="0" w:color="auto"/>
      </w:divBdr>
    </w:div>
    <w:div w:id="1574660951">
      <w:bodyDiv w:val="1"/>
      <w:marLeft w:val="0"/>
      <w:marRight w:val="0"/>
      <w:marTop w:val="0"/>
      <w:marBottom w:val="0"/>
      <w:divBdr>
        <w:top w:val="none" w:sz="0" w:space="0" w:color="auto"/>
        <w:left w:val="none" w:sz="0" w:space="0" w:color="auto"/>
        <w:bottom w:val="none" w:sz="0" w:space="0" w:color="auto"/>
        <w:right w:val="none" w:sz="0" w:space="0" w:color="auto"/>
      </w:divBdr>
    </w:div>
    <w:div w:id="20799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dashov.nikolai@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Кудашов Николай</dc:creator>
  <cp:keywords/>
  <dc:description/>
  <cp:lastModifiedBy>Кудашов Николай</cp:lastModifiedBy>
  <cp:revision>3</cp:revision>
  <dcterms:created xsi:type="dcterms:W3CDTF">2022-05-10T08:53:00Z</dcterms:created>
  <dcterms:modified xsi:type="dcterms:W3CDTF">2022-05-11T09:10:00Z</dcterms:modified>
</cp:coreProperties>
</file>