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F1" w:rsidRPr="00C33193" w:rsidRDefault="00BB63F1" w:rsidP="00F02C54">
      <w:pPr>
        <w:pStyle w:val="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2D76">
        <w:rPr>
          <w:rFonts w:ascii="Times New Roman" w:hAnsi="Times New Roman" w:cs="Times New Roman"/>
          <w:b/>
          <w:color w:val="auto"/>
          <w:sz w:val="28"/>
          <w:szCs w:val="28"/>
        </w:rPr>
        <w:t>УДК</w:t>
      </w:r>
      <w:r w:rsidR="00872D76" w:rsidRPr="00C331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336.76</w:t>
      </w:r>
    </w:p>
    <w:p w:rsidR="004461B0" w:rsidRPr="00872D76" w:rsidRDefault="004461B0" w:rsidP="00872D76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2D76">
        <w:rPr>
          <w:rFonts w:ascii="Times New Roman" w:hAnsi="Times New Roman" w:cs="Times New Roman"/>
          <w:b/>
          <w:color w:val="auto"/>
          <w:sz w:val="28"/>
          <w:szCs w:val="28"/>
        </w:rPr>
        <w:t>Чуклинова Н.Р.</w:t>
      </w:r>
    </w:p>
    <w:p w:rsidR="00872D76" w:rsidRPr="00872D76" w:rsidRDefault="00C33912" w:rsidP="00872D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72D76" w:rsidRPr="00872D7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chuklinova.natasha@mail.ru</w:t>
        </w:r>
      </w:hyperlink>
    </w:p>
    <w:p w:rsidR="004461B0" w:rsidRPr="00872D76" w:rsidRDefault="004461B0" w:rsidP="00872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76">
        <w:rPr>
          <w:rFonts w:ascii="Times New Roman" w:hAnsi="Times New Roman" w:cs="Times New Roman"/>
          <w:sz w:val="28"/>
          <w:szCs w:val="28"/>
        </w:rPr>
        <w:t>Росси</w:t>
      </w:r>
      <w:r w:rsidR="00BB63F1" w:rsidRPr="00872D76">
        <w:rPr>
          <w:rFonts w:ascii="Times New Roman" w:hAnsi="Times New Roman" w:cs="Times New Roman"/>
          <w:sz w:val="28"/>
          <w:szCs w:val="28"/>
        </w:rPr>
        <w:t>я</w:t>
      </w:r>
      <w:r w:rsidRPr="00872D76">
        <w:rPr>
          <w:rFonts w:ascii="Times New Roman" w:hAnsi="Times New Roman" w:cs="Times New Roman"/>
          <w:sz w:val="28"/>
          <w:szCs w:val="28"/>
        </w:rPr>
        <w:t>, Санкт-Петербург</w:t>
      </w:r>
    </w:p>
    <w:p w:rsidR="004461B0" w:rsidRPr="00872D76" w:rsidRDefault="004461B0" w:rsidP="00872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76">
        <w:rPr>
          <w:rFonts w:ascii="Times New Roman" w:hAnsi="Times New Roman" w:cs="Times New Roman"/>
          <w:sz w:val="28"/>
          <w:szCs w:val="28"/>
        </w:rPr>
        <w:t>Международный банковский институт имени Анатолия Собчака</w:t>
      </w:r>
    </w:p>
    <w:p w:rsidR="004461B0" w:rsidRPr="00872D76" w:rsidRDefault="00EF0174" w:rsidP="00872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Колесникова А.В</w:t>
      </w:r>
      <w:r w:rsidR="004461B0" w:rsidRPr="00872D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3C5D">
        <w:rPr>
          <w:rFonts w:ascii="Times New Roman" w:hAnsi="Times New Roman" w:cs="Times New Roman"/>
          <w:sz w:val="28"/>
          <w:szCs w:val="28"/>
        </w:rPr>
        <w:t xml:space="preserve">к.э.н., доцент </w:t>
      </w:r>
      <w:r w:rsidR="004461B0" w:rsidRPr="00872D76">
        <w:rPr>
          <w:rFonts w:ascii="Times New Roman" w:hAnsi="Times New Roman" w:cs="Times New Roman"/>
          <w:sz w:val="28"/>
          <w:szCs w:val="28"/>
        </w:rPr>
        <w:t>– научный руководитель</w:t>
      </w:r>
    </w:p>
    <w:p w:rsidR="004461B0" w:rsidRPr="00872D76" w:rsidRDefault="004461B0" w:rsidP="00872D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1B0" w:rsidRPr="00872D76" w:rsidRDefault="004461B0" w:rsidP="00973B58">
      <w:pPr>
        <w:spacing w:after="0" w:line="288" w:lineRule="auto"/>
        <w:ind w:firstLine="709"/>
        <w:rPr>
          <w:rFonts w:ascii="Times New Roman" w:hAnsi="Times New Roman" w:cs="Times New Roman"/>
          <w:b/>
          <w:sz w:val="24"/>
        </w:rPr>
      </w:pPr>
      <w:r w:rsidRPr="00872D76">
        <w:rPr>
          <w:rFonts w:ascii="Times New Roman" w:hAnsi="Times New Roman" w:cs="Times New Roman"/>
          <w:b/>
          <w:sz w:val="24"/>
        </w:rPr>
        <w:t>Аннотация</w:t>
      </w:r>
    </w:p>
    <w:p w:rsidR="004461B0" w:rsidRPr="00473C5D" w:rsidRDefault="004461B0" w:rsidP="00973B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C5D">
        <w:rPr>
          <w:rFonts w:ascii="Times New Roman" w:hAnsi="Times New Roman" w:cs="Times New Roman"/>
          <w:sz w:val="24"/>
          <w:szCs w:val="24"/>
        </w:rPr>
        <w:t>В статье</w:t>
      </w:r>
      <w:r w:rsidR="009024A4" w:rsidRPr="009024A4">
        <w:rPr>
          <w:rFonts w:ascii="Times New Roman" w:hAnsi="Times New Roman" w:cs="Times New Roman"/>
          <w:sz w:val="24"/>
          <w:szCs w:val="24"/>
        </w:rPr>
        <w:t xml:space="preserve"> </w:t>
      </w:r>
      <w:r w:rsidR="00845BA8" w:rsidRPr="00473C5D">
        <w:rPr>
          <w:rFonts w:ascii="Times New Roman" w:hAnsi="Times New Roman" w:cs="Times New Roman"/>
          <w:sz w:val="24"/>
          <w:szCs w:val="24"/>
        </w:rPr>
        <w:t>анализ</w:t>
      </w:r>
      <w:r w:rsidR="003E7AAE" w:rsidRPr="00473C5D">
        <w:rPr>
          <w:rFonts w:ascii="Times New Roman" w:hAnsi="Times New Roman" w:cs="Times New Roman"/>
          <w:sz w:val="24"/>
          <w:szCs w:val="24"/>
        </w:rPr>
        <w:t xml:space="preserve">ируется </w:t>
      </w:r>
      <w:r w:rsidR="00473C5D" w:rsidRPr="00473C5D">
        <w:rPr>
          <w:rFonts w:ascii="Times New Roman" w:hAnsi="Times New Roman" w:cs="Times New Roman"/>
          <w:sz w:val="24"/>
          <w:szCs w:val="24"/>
        </w:rPr>
        <w:t>поведение фондового рынка</w:t>
      </w:r>
      <w:r w:rsidR="005A5CEE">
        <w:rPr>
          <w:rFonts w:ascii="Times New Roman" w:hAnsi="Times New Roman" w:cs="Times New Roman"/>
          <w:sz w:val="24"/>
          <w:szCs w:val="24"/>
        </w:rPr>
        <w:t xml:space="preserve"> за 1 квартал 2022 года</w:t>
      </w:r>
      <w:r w:rsidR="00845BA8" w:rsidRPr="00473C5D">
        <w:rPr>
          <w:rFonts w:ascii="Times New Roman" w:hAnsi="Times New Roman" w:cs="Times New Roman"/>
          <w:sz w:val="24"/>
          <w:szCs w:val="24"/>
        </w:rPr>
        <w:t xml:space="preserve">. </w:t>
      </w:r>
      <w:r w:rsidR="005A5CEE">
        <w:rPr>
          <w:rFonts w:ascii="Times New Roman" w:hAnsi="Times New Roman" w:cs="Times New Roman"/>
          <w:sz w:val="24"/>
          <w:szCs w:val="24"/>
        </w:rPr>
        <w:t>Были рассмотрены основные экономические показ</w:t>
      </w:r>
      <w:r w:rsidR="005727E9">
        <w:rPr>
          <w:rFonts w:ascii="Times New Roman" w:hAnsi="Times New Roman" w:cs="Times New Roman"/>
          <w:sz w:val="24"/>
          <w:szCs w:val="24"/>
        </w:rPr>
        <w:t xml:space="preserve">атели по разным странам за </w:t>
      </w:r>
      <w:r w:rsidR="005A5CEE">
        <w:rPr>
          <w:rFonts w:ascii="Times New Roman" w:hAnsi="Times New Roman" w:cs="Times New Roman"/>
          <w:sz w:val="24"/>
          <w:szCs w:val="24"/>
        </w:rPr>
        <w:t>2</w:t>
      </w:r>
      <w:r w:rsidR="005727E9">
        <w:rPr>
          <w:rFonts w:ascii="Times New Roman" w:hAnsi="Times New Roman" w:cs="Times New Roman"/>
          <w:sz w:val="24"/>
          <w:szCs w:val="24"/>
        </w:rPr>
        <w:t xml:space="preserve">021 </w:t>
      </w:r>
      <w:r w:rsidR="00EA71C9">
        <w:rPr>
          <w:rFonts w:ascii="Times New Roman" w:hAnsi="Times New Roman" w:cs="Times New Roman"/>
          <w:sz w:val="24"/>
          <w:szCs w:val="24"/>
        </w:rPr>
        <w:t xml:space="preserve">г., проведен анализ. </w:t>
      </w:r>
      <w:r w:rsidR="00EA71C9" w:rsidRPr="00EA71C9">
        <w:rPr>
          <w:rFonts w:ascii="Times New Roman" w:hAnsi="Times New Roman" w:cs="Times New Roman"/>
          <w:sz w:val="24"/>
          <w:szCs w:val="24"/>
        </w:rPr>
        <w:t>А также представлены</w:t>
      </w:r>
      <w:r w:rsidR="00EA71C9">
        <w:rPr>
          <w:rFonts w:ascii="Times New Roman" w:hAnsi="Times New Roman" w:cs="Times New Roman"/>
          <w:sz w:val="24"/>
          <w:szCs w:val="24"/>
        </w:rPr>
        <w:t xml:space="preserve"> и рассмотрены</w:t>
      </w:r>
      <w:r w:rsidR="00EA71C9" w:rsidRPr="00EA71C9">
        <w:rPr>
          <w:rFonts w:ascii="Times New Roman" w:hAnsi="Times New Roman" w:cs="Times New Roman"/>
          <w:sz w:val="24"/>
          <w:szCs w:val="24"/>
        </w:rPr>
        <w:t xml:space="preserve"> меры</w:t>
      </w:r>
      <w:r w:rsidR="00CE0FA7">
        <w:rPr>
          <w:rFonts w:ascii="Times New Roman" w:hAnsi="Times New Roman" w:cs="Times New Roman"/>
          <w:sz w:val="24"/>
          <w:szCs w:val="24"/>
        </w:rPr>
        <w:t xml:space="preserve">, которые использовались </w:t>
      </w:r>
      <w:r w:rsidR="00EA71C9">
        <w:rPr>
          <w:rFonts w:ascii="Times New Roman" w:hAnsi="Times New Roman" w:cs="Times New Roman"/>
          <w:sz w:val="24"/>
          <w:szCs w:val="24"/>
        </w:rPr>
        <w:t>ЦБ РФ в период экономической нестабильности.</w:t>
      </w:r>
    </w:p>
    <w:p w:rsidR="004461B0" w:rsidRPr="00872D76" w:rsidRDefault="004461B0" w:rsidP="00973B58">
      <w:pPr>
        <w:spacing w:after="0" w:line="288" w:lineRule="auto"/>
        <w:ind w:firstLine="709"/>
        <w:rPr>
          <w:rFonts w:ascii="Times New Roman" w:hAnsi="Times New Roman" w:cs="Times New Roman"/>
          <w:b/>
          <w:sz w:val="24"/>
        </w:rPr>
      </w:pPr>
      <w:r w:rsidRPr="00872D76">
        <w:rPr>
          <w:rFonts w:ascii="Times New Roman" w:hAnsi="Times New Roman" w:cs="Times New Roman"/>
          <w:b/>
          <w:sz w:val="24"/>
        </w:rPr>
        <w:t>Ключевые слова</w:t>
      </w:r>
    </w:p>
    <w:p w:rsidR="004461B0" w:rsidRPr="00872D76" w:rsidRDefault="00EF0174" w:rsidP="00973B58">
      <w:pPr>
        <w:spacing w:after="0" w:line="288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Финансовый рынок</w:t>
      </w:r>
      <w:r w:rsidR="00D7302F" w:rsidRPr="00872D76">
        <w:rPr>
          <w:rFonts w:ascii="Times New Roman" w:hAnsi="Times New Roman" w:cs="Times New Roman"/>
          <w:sz w:val="24"/>
        </w:rPr>
        <w:t>, фондовый рынок, биржа</w:t>
      </w:r>
      <w:r>
        <w:rPr>
          <w:rFonts w:ascii="Times New Roman" w:hAnsi="Times New Roman" w:cs="Times New Roman"/>
          <w:sz w:val="24"/>
        </w:rPr>
        <w:t xml:space="preserve">, </w:t>
      </w:r>
      <w:r w:rsidR="00E86C79">
        <w:rPr>
          <w:rFonts w:ascii="Times New Roman" w:hAnsi="Times New Roman" w:cs="Times New Roman"/>
          <w:sz w:val="24"/>
        </w:rPr>
        <w:t xml:space="preserve">финансовые </w:t>
      </w:r>
      <w:r>
        <w:rPr>
          <w:rFonts w:ascii="Times New Roman" w:hAnsi="Times New Roman" w:cs="Times New Roman"/>
          <w:sz w:val="24"/>
        </w:rPr>
        <w:t>риски</w:t>
      </w:r>
      <w:r w:rsidR="00E86C79">
        <w:rPr>
          <w:rFonts w:ascii="Times New Roman" w:hAnsi="Times New Roman" w:cs="Times New Roman"/>
          <w:sz w:val="24"/>
        </w:rPr>
        <w:t>, экономическая нестабильность</w:t>
      </w:r>
      <w:r w:rsidR="00F01956">
        <w:rPr>
          <w:rFonts w:ascii="Times New Roman" w:hAnsi="Times New Roman" w:cs="Times New Roman"/>
          <w:sz w:val="24"/>
        </w:rPr>
        <w:t>, Центральный банк Российской Федерации</w:t>
      </w:r>
      <w:r w:rsidR="004461B0" w:rsidRPr="00872D76">
        <w:rPr>
          <w:rFonts w:ascii="Times New Roman" w:hAnsi="Times New Roman" w:cs="Times New Roman"/>
          <w:sz w:val="24"/>
        </w:rPr>
        <w:t>.</w:t>
      </w:r>
    </w:p>
    <w:p w:rsidR="004461B0" w:rsidRPr="00872D76" w:rsidRDefault="00E86C79" w:rsidP="004461B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ИНСТРУМЕНТАРИЙ </w:t>
      </w:r>
      <w:r w:rsidR="009B1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ПРАВЛЕНИЯ ФИНАНСОВЫМИ РИСКАМИ В ПЕРИОД ЭКОНОМИЧЕСКОЙ НЕСТАБИЛЬНОСТИ</w:t>
      </w:r>
    </w:p>
    <w:p w:rsidR="00112D6F" w:rsidRPr="00872D76" w:rsidRDefault="00112D6F" w:rsidP="00D730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4461B0" w:rsidRPr="00872D76" w:rsidRDefault="004461B0" w:rsidP="00D730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872D76">
        <w:rPr>
          <w:rFonts w:ascii="Times New Roman" w:hAnsi="Times New Roman" w:cs="Times New Roman"/>
          <w:b/>
          <w:sz w:val="28"/>
          <w:szCs w:val="28"/>
          <w:lang w:val="en-GB"/>
        </w:rPr>
        <w:t>Chuklinova</w:t>
      </w:r>
      <w:proofErr w:type="spellEnd"/>
      <w:r w:rsidRPr="00872D7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N. R.</w:t>
      </w:r>
    </w:p>
    <w:p w:rsidR="004461B0" w:rsidRPr="00872D76" w:rsidRDefault="004461B0" w:rsidP="00D7302F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72D76">
        <w:rPr>
          <w:rFonts w:ascii="Times New Roman" w:hAnsi="Times New Roman" w:cs="Times New Roman"/>
          <w:sz w:val="28"/>
          <w:szCs w:val="28"/>
          <w:lang w:val="en-US"/>
        </w:rPr>
        <w:t>Russia, Saint Petersburg</w:t>
      </w:r>
    </w:p>
    <w:p w:rsidR="004461B0" w:rsidRPr="00872D76" w:rsidRDefault="004461B0" w:rsidP="00D7302F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72D76">
        <w:rPr>
          <w:rFonts w:ascii="Times New Roman" w:hAnsi="Times New Roman" w:cs="Times New Roman"/>
          <w:sz w:val="28"/>
          <w:szCs w:val="28"/>
          <w:lang w:val="en-US"/>
        </w:rPr>
        <w:t xml:space="preserve">International Banking Institute named after </w:t>
      </w:r>
      <w:proofErr w:type="spellStart"/>
      <w:r w:rsidRPr="00872D76">
        <w:rPr>
          <w:rFonts w:ascii="Times New Roman" w:hAnsi="Times New Roman" w:cs="Times New Roman"/>
          <w:sz w:val="28"/>
          <w:szCs w:val="28"/>
          <w:lang w:val="en-US"/>
        </w:rPr>
        <w:t>AnatoliySobchak</w:t>
      </w:r>
      <w:proofErr w:type="spellEnd"/>
    </w:p>
    <w:p w:rsidR="004461B0" w:rsidRPr="00872D76" w:rsidRDefault="00EF0174" w:rsidP="00D7302F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EF017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Kolesnikova</w:t>
      </w:r>
      <w:proofErr w:type="spellEnd"/>
      <w:r w:rsidRPr="00EF017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F017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A.V.</w:t>
      </w:r>
      <w:proofErr w:type="gramStart"/>
      <w:r w:rsidR="00E86C79" w:rsidRPr="00E86C7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,</w:t>
      </w:r>
      <w:r w:rsidR="00473C5D" w:rsidRPr="00473C5D">
        <w:rPr>
          <w:rFonts w:ascii="Times New Roman" w:hAnsi="Times New Roman" w:cs="Times New Roman"/>
          <w:color w:val="000000"/>
          <w:sz w:val="28"/>
          <w:szCs w:val="28"/>
          <w:lang w:val="en-US"/>
        </w:rPr>
        <w:t>Candidate</w:t>
      </w:r>
      <w:proofErr w:type="spellEnd"/>
      <w:proofErr w:type="gramEnd"/>
      <w:r w:rsidR="00473C5D" w:rsidRPr="00473C5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Economic Sciences, Associate Professor</w:t>
      </w:r>
      <w:r w:rsidR="004461B0" w:rsidRPr="00473C5D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4461B0" w:rsidRPr="00872D76">
        <w:rPr>
          <w:rFonts w:ascii="Times New Roman" w:hAnsi="Times New Roman" w:cs="Times New Roman"/>
          <w:sz w:val="28"/>
          <w:szCs w:val="28"/>
          <w:lang w:val="en-GB"/>
        </w:rPr>
        <w:t xml:space="preserve"> –</w:t>
      </w:r>
      <w:r w:rsidR="00872D76" w:rsidRPr="00872D76">
        <w:rPr>
          <w:rFonts w:ascii="Times New Roman" w:hAnsi="Times New Roman" w:cs="Times New Roman"/>
          <w:sz w:val="28"/>
          <w:szCs w:val="28"/>
          <w:lang w:val="en-GB"/>
        </w:rPr>
        <w:t xml:space="preserve"> scientific director</w:t>
      </w:r>
    </w:p>
    <w:p w:rsidR="004461B0" w:rsidRPr="00872D76" w:rsidRDefault="004461B0" w:rsidP="00973B58">
      <w:pPr>
        <w:spacing w:after="0" w:line="288" w:lineRule="auto"/>
        <w:ind w:firstLine="709"/>
        <w:rPr>
          <w:rFonts w:ascii="Times New Roman" w:hAnsi="Times New Roman" w:cs="Times New Roman"/>
          <w:b/>
          <w:sz w:val="24"/>
          <w:shd w:val="clear" w:color="auto" w:fill="FFFFFF"/>
          <w:lang w:val="en-US"/>
        </w:rPr>
      </w:pPr>
      <w:r w:rsidRPr="00872D76">
        <w:rPr>
          <w:rFonts w:ascii="Times New Roman" w:hAnsi="Times New Roman" w:cs="Times New Roman"/>
          <w:b/>
          <w:sz w:val="24"/>
          <w:shd w:val="clear" w:color="auto" w:fill="FFFFFF"/>
          <w:lang w:val="en-US"/>
        </w:rPr>
        <w:t>Abstract</w:t>
      </w:r>
    </w:p>
    <w:p w:rsidR="00473C5D" w:rsidRPr="00EA71C9" w:rsidRDefault="00EA71C9" w:rsidP="00973B58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A71C9">
        <w:rPr>
          <w:rFonts w:ascii="Times New Roman" w:hAnsi="Times New Roman" w:cs="Times New Roman"/>
          <w:sz w:val="24"/>
          <w:szCs w:val="24"/>
          <w:lang w:val="en-US"/>
        </w:rPr>
        <w:t>The article analyzes the behavior of the stock market for the 1st quarter of 2022. The main economic indicators for</w:t>
      </w:r>
      <w:r w:rsidR="005727E9">
        <w:rPr>
          <w:rFonts w:ascii="Times New Roman" w:hAnsi="Times New Roman" w:cs="Times New Roman"/>
          <w:sz w:val="24"/>
          <w:szCs w:val="24"/>
          <w:lang w:val="en-US"/>
        </w:rPr>
        <w:t xml:space="preserve"> different countries for </w:t>
      </w:r>
      <w:r w:rsidRPr="00EA71C9">
        <w:rPr>
          <w:rFonts w:ascii="Times New Roman" w:hAnsi="Times New Roman" w:cs="Times New Roman"/>
          <w:sz w:val="24"/>
          <w:szCs w:val="24"/>
          <w:lang w:val="en-US"/>
        </w:rPr>
        <w:t>2021 were considered</w:t>
      </w:r>
      <w:proofErr w:type="gramStart"/>
      <w:r w:rsidRPr="00EA71C9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EA71C9">
        <w:rPr>
          <w:rFonts w:ascii="Times New Roman" w:hAnsi="Times New Roman" w:cs="Times New Roman"/>
          <w:sz w:val="24"/>
          <w:szCs w:val="24"/>
          <w:lang w:val="en-US"/>
        </w:rPr>
        <w:t xml:space="preserve"> an analysis was carried out. The measures used by the Central Bank of the Russian Federation during the period of economic instability are also presented and considered.</w:t>
      </w:r>
    </w:p>
    <w:p w:rsidR="004461B0" w:rsidRPr="00DF16D3" w:rsidRDefault="004461B0" w:rsidP="00973B58">
      <w:pPr>
        <w:spacing w:after="0" w:line="288" w:lineRule="auto"/>
        <w:ind w:firstLine="709"/>
        <w:rPr>
          <w:rFonts w:ascii="Times New Roman" w:hAnsi="Times New Roman" w:cs="Times New Roman"/>
          <w:b/>
          <w:sz w:val="24"/>
          <w:shd w:val="clear" w:color="auto" w:fill="FFFFFF"/>
          <w:lang w:val="en-US"/>
        </w:rPr>
      </w:pPr>
      <w:r w:rsidRPr="00DF16D3">
        <w:rPr>
          <w:rFonts w:ascii="Times New Roman" w:hAnsi="Times New Roman" w:cs="Times New Roman"/>
          <w:b/>
          <w:sz w:val="24"/>
          <w:shd w:val="clear" w:color="auto" w:fill="FFFFFF"/>
          <w:lang w:val="en-US"/>
        </w:rPr>
        <w:t>Keywords</w:t>
      </w:r>
    </w:p>
    <w:p w:rsidR="004461B0" w:rsidRPr="00DF16D3" w:rsidRDefault="00F01956" w:rsidP="00973B58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01956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 market, stock market, stock exchange, financial risks, economic instability, Central Bank of the Russian Federation</w:t>
      </w:r>
      <w:r w:rsidR="00EF0174" w:rsidRPr="00DF16D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4461B0" w:rsidRPr="00DF16D3" w:rsidRDefault="004461B0" w:rsidP="00973B58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2D6F" w:rsidRPr="009B1B5C" w:rsidRDefault="009B1B5C" w:rsidP="00112D6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1B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FINANCIAL RISK MANAGEMENT TOOLS IN THE PERIOD OF ECONOMIC INSTABILITY</w:t>
      </w:r>
    </w:p>
    <w:p w:rsidR="00F02C54" w:rsidRPr="00872D76" w:rsidRDefault="00F02C54" w:rsidP="00112D6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0174" w:rsidRDefault="00EF0174" w:rsidP="00F0195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Вызовы времени на современном этапе требуют углубленного изучения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влияния факторов реализации различного рода рисков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экономику и разработки соответствующих мер стабилизации. Инструменты снижения негативных последствий реализации политических рисков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настоящее время являются очень востребованными, поэтому исследование их влияния на различные сектора экономики и финансового рынка является своевременным и актуальным.</w:t>
      </w:r>
    </w:p>
    <w:p w:rsidR="00EF0174" w:rsidRDefault="00EF0174" w:rsidP="00F0195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рисунке 1 представлен график индекса Московской биржи за период с 01.01.2021 г. по 13.04.2022 г.</w:t>
      </w:r>
    </w:p>
    <w:p w:rsidR="00EF0174" w:rsidRPr="00175520" w:rsidRDefault="00EF0174" w:rsidP="00EF0174">
      <w:pPr>
        <w:jc w:val="center"/>
      </w:pPr>
      <w:r w:rsidRPr="00175520">
        <w:rPr>
          <w:noProof/>
          <w:lang w:eastAsia="ru-RU"/>
        </w:rPr>
        <w:drawing>
          <wp:inline distT="0" distB="0" distL="0" distR="0">
            <wp:extent cx="2354580" cy="1523552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423" t="28221" r="39263" b="18473"/>
                    <a:stretch/>
                  </pic:blipFill>
                  <pic:spPr bwMode="auto">
                    <a:xfrm>
                      <a:off x="0" y="0"/>
                      <a:ext cx="2354657" cy="1523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174" w:rsidRDefault="00EF0174" w:rsidP="00EF0174">
      <w:pPr>
        <w:pStyle w:val="aa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55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1C50B9" w:rsidRPr="00175520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175520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="001C50B9" w:rsidRPr="00175520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713F22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1</w:t>
      </w:r>
      <w:r w:rsidR="001C50B9" w:rsidRPr="00175520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Pr="001755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График индекса Московской биржи за период с 01.01.2021 г. по 13.04.2022 гг.</w:t>
      </w:r>
    </w:p>
    <w:p w:rsidR="00EF0174" w:rsidRPr="00E86C79" w:rsidRDefault="00EF0174" w:rsidP="00DE6AB6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563">
        <w:rPr>
          <w:rFonts w:ascii="Times New Roman" w:hAnsi="Times New Roman" w:cs="Times New Roman"/>
          <w:bCs/>
          <w:sz w:val="28"/>
          <w:szCs w:val="28"/>
        </w:rPr>
        <w:t>Источник:</w:t>
      </w:r>
      <w:r w:rsidR="00A968DC">
        <w:rPr>
          <w:rFonts w:ascii="Times New Roman" w:hAnsi="Times New Roman" w:cs="Times New Roman"/>
          <w:bCs/>
          <w:sz w:val="28"/>
          <w:szCs w:val="28"/>
        </w:rPr>
        <w:t xml:space="preserve"> список использованных источников </w:t>
      </w:r>
      <w:r w:rsidR="00A968DC" w:rsidRPr="00E86C79">
        <w:rPr>
          <w:rFonts w:ascii="Times New Roman" w:hAnsi="Times New Roman" w:cs="Times New Roman"/>
          <w:bCs/>
          <w:sz w:val="28"/>
          <w:szCs w:val="28"/>
        </w:rPr>
        <w:t>[1].</w:t>
      </w:r>
    </w:p>
    <w:p w:rsidR="00EF0174" w:rsidRDefault="00EF0174" w:rsidP="00DE6AB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анализируемый период </w:t>
      </w:r>
      <w:r w:rsidRPr="00984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Российский рынок начал основную сессию 24.02.2022 г. с обвала.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информационной волне б</w:t>
      </w:r>
      <w:r w:rsidRPr="0098413B">
        <w:rPr>
          <w:rFonts w:ascii="Times New Roman" w:hAnsi="Times New Roman" w:cs="Times New Roman"/>
          <w:sz w:val="28"/>
          <w:szCs w:val="28"/>
        </w:rPr>
        <w:t>ольше всего пострадали «голубые фишки»</w:t>
      </w:r>
      <w:r>
        <w:rPr>
          <w:rFonts w:ascii="Times New Roman" w:hAnsi="Times New Roman" w:cs="Times New Roman"/>
          <w:sz w:val="28"/>
          <w:szCs w:val="28"/>
        </w:rPr>
        <w:t xml:space="preserve">, такие как </w:t>
      </w:r>
      <w:r w:rsidRPr="0098413B">
        <w:rPr>
          <w:rFonts w:ascii="Times New Roman" w:hAnsi="Times New Roman" w:cs="Times New Roman"/>
          <w:sz w:val="28"/>
          <w:szCs w:val="28"/>
        </w:rPr>
        <w:t xml:space="preserve">– ВТБ, Сбербанк, Газпром, Лукойл, Роснефть, </w:t>
      </w:r>
      <w:proofErr w:type="spellStart"/>
      <w:r w:rsidRPr="0098413B">
        <w:rPr>
          <w:rFonts w:ascii="Times New Roman" w:hAnsi="Times New Roman" w:cs="Times New Roman"/>
          <w:sz w:val="28"/>
          <w:szCs w:val="28"/>
        </w:rPr>
        <w:t>Мосбиржа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акции продемонстрировали снижение почти на 50%</w:t>
      </w:r>
      <w:r w:rsidRPr="009841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рисунке 2, представлен график акции ВТБ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proofErr w:type="gramEnd"/>
      <w:r>
        <w:rPr>
          <w:rFonts w:ascii="Times New Roman" w:hAnsi="Times New Roman" w:cs="Times New Roman"/>
          <w:sz w:val="28"/>
          <w:szCs w:val="28"/>
        </w:rPr>
        <w:t>ПАО (</w:t>
      </w:r>
      <w:r>
        <w:rPr>
          <w:rFonts w:ascii="Times New Roman" w:hAnsi="Times New Roman" w:cs="Times New Roman"/>
          <w:sz w:val="28"/>
          <w:szCs w:val="28"/>
          <w:lang w:val="en-US"/>
        </w:rPr>
        <w:t>VTBR</w:t>
      </w:r>
      <w:r>
        <w:rPr>
          <w:rFonts w:ascii="Times New Roman" w:hAnsi="Times New Roman" w:cs="Times New Roman"/>
          <w:sz w:val="28"/>
          <w:szCs w:val="28"/>
        </w:rPr>
        <w:t>), за период с 01.01.2021. по 13.04.2022 гг.</w:t>
      </w:r>
    </w:p>
    <w:p w:rsidR="00EF0174" w:rsidRPr="005745B3" w:rsidRDefault="00EF0174" w:rsidP="00EF0174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5745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4620" cy="178307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9487" t="36924" r="41283" b="16580"/>
                    <a:stretch/>
                  </pic:blipFill>
                  <pic:spPr bwMode="auto">
                    <a:xfrm>
                      <a:off x="0" y="0"/>
                      <a:ext cx="2676462" cy="1784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174" w:rsidRDefault="00EF0174" w:rsidP="00EF0174">
      <w:pPr>
        <w:pStyle w:val="aa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45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1C50B9" w:rsidRPr="005745B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5745B3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="001C50B9" w:rsidRPr="005745B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713F22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2</w:t>
      </w:r>
      <w:r w:rsidR="001C50B9" w:rsidRPr="005745B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Pr="005745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График акции ВТБ RTS ПАО (VTBR), за период с 01.01.2021. по 13.04.2022 гг.</w:t>
      </w:r>
    </w:p>
    <w:p w:rsidR="00473C5D" w:rsidRPr="00473C5D" w:rsidRDefault="00EF0174" w:rsidP="00DE6AB6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563">
        <w:rPr>
          <w:rFonts w:ascii="Times New Roman" w:hAnsi="Times New Roman" w:cs="Times New Roman"/>
          <w:bCs/>
          <w:sz w:val="28"/>
          <w:szCs w:val="28"/>
        </w:rPr>
        <w:t>Источник:</w:t>
      </w:r>
      <w:r w:rsidR="00CE0F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3C5D">
        <w:rPr>
          <w:rFonts w:ascii="Times New Roman" w:hAnsi="Times New Roman" w:cs="Times New Roman"/>
          <w:bCs/>
          <w:sz w:val="28"/>
          <w:szCs w:val="28"/>
        </w:rPr>
        <w:t xml:space="preserve">список использованных источников </w:t>
      </w:r>
      <w:r w:rsidR="00473C5D" w:rsidRPr="00473C5D">
        <w:rPr>
          <w:rFonts w:ascii="Times New Roman" w:hAnsi="Times New Roman" w:cs="Times New Roman"/>
          <w:bCs/>
          <w:sz w:val="28"/>
          <w:szCs w:val="28"/>
        </w:rPr>
        <w:t>[2].</w:t>
      </w:r>
    </w:p>
    <w:p w:rsidR="00EF0174" w:rsidRPr="00255FAC" w:rsidRDefault="00EF0174" w:rsidP="00255FA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>В дальнейшем также складывается негативный внешний фон, обусловленный геополитической повесткой, который провоцирует снижение ведущих мировых индексов.</w:t>
      </w:r>
    </w:p>
    <w:p w:rsidR="00763B57" w:rsidRPr="00255FAC" w:rsidRDefault="00E766A5" w:rsidP="00255FA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>Азиатские страны, такие как Китай и Япония, закры</w:t>
      </w:r>
      <w:r w:rsidR="009024A4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торговый день 24.02.2022 г. с неблагоприятными</w:t>
      </w:r>
      <w:r w:rsidR="007F2531"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результатами:</w:t>
      </w:r>
    </w:p>
    <w:p w:rsidR="00763B57" w:rsidRPr="00255FAC" w:rsidRDefault="007F2531" w:rsidP="00255FAC">
      <w:pPr>
        <w:pStyle w:val="a7"/>
        <w:numPr>
          <w:ilvl w:val="0"/>
          <w:numId w:val="8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фондовый индекс Японии - </w:t>
      </w: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Nikkei</w:t>
      </w: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упал на 1,8%.</w:t>
      </w:r>
    </w:p>
    <w:p w:rsidR="007F2531" w:rsidRPr="00255FAC" w:rsidRDefault="007F2531" w:rsidP="00255FAC">
      <w:pPr>
        <w:pStyle w:val="a7"/>
        <w:numPr>
          <w:ilvl w:val="0"/>
          <w:numId w:val="8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индекс Гонконгской фондовой биржи - </w:t>
      </w:r>
      <w:proofErr w:type="spellStart"/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>HangSeng</w:t>
      </w:r>
      <w:proofErr w:type="spellEnd"/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упал на 3,6%;</w:t>
      </w:r>
    </w:p>
    <w:p w:rsidR="007F2531" w:rsidRPr="00255FAC" w:rsidRDefault="007F2531" w:rsidP="00255FAC">
      <w:pPr>
        <w:pStyle w:val="a7"/>
        <w:numPr>
          <w:ilvl w:val="0"/>
          <w:numId w:val="8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индекс Шанхайской фондовой биржи </w:t>
      </w: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SSE</w:t>
      </w:r>
      <w:proofErr w:type="spellStart"/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>Composite</w:t>
      </w:r>
      <w:proofErr w:type="spellEnd"/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упал на 1,7%.</w:t>
      </w:r>
    </w:p>
    <w:p w:rsidR="007F2531" w:rsidRPr="00255FAC" w:rsidRDefault="007F2531" w:rsidP="00255FA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Европа </w:t>
      </w:r>
      <w:r w:rsidR="00255FAC"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>и Америка этот день также закрыли</w:t>
      </w: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отрицательными результатами:</w:t>
      </w:r>
    </w:p>
    <w:p w:rsidR="007F2531" w:rsidRPr="00255FAC" w:rsidRDefault="00255FAC" w:rsidP="00255FAC">
      <w:pPr>
        <w:pStyle w:val="a7"/>
        <w:numPr>
          <w:ilvl w:val="0"/>
          <w:numId w:val="9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фондовый</w:t>
      </w:r>
      <w:r w:rsidR="007F2531"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индекс 600 крупнейших европейских компаний – </w:t>
      </w:r>
      <w:proofErr w:type="spellStart"/>
      <w:r w:rsidR="007F2531" w:rsidRPr="00255F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STOXXEurope</w:t>
      </w:r>
      <w:proofErr w:type="spellEnd"/>
      <w:r w:rsidR="007F2531"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600 упал на </w:t>
      </w: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>2,7%;</w:t>
      </w:r>
    </w:p>
    <w:p w:rsidR="00255FAC" w:rsidRPr="00255FAC" w:rsidRDefault="00255FAC" w:rsidP="00255FAC">
      <w:pPr>
        <w:pStyle w:val="a7"/>
        <w:numPr>
          <w:ilvl w:val="0"/>
          <w:numId w:val="9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фондовый индекс </w:t>
      </w:r>
      <w:proofErr w:type="spellStart"/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>DowJones</w:t>
      </w:r>
      <w:proofErr w:type="spellEnd"/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упал на 1,7%;</w:t>
      </w:r>
    </w:p>
    <w:p w:rsidR="00255FAC" w:rsidRPr="00255FAC" w:rsidRDefault="00255FAC" w:rsidP="00255FAC">
      <w:pPr>
        <w:pStyle w:val="a7"/>
        <w:numPr>
          <w:ilvl w:val="0"/>
          <w:numId w:val="9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>фондовый индекс S&amp;P 500 упал на 1,8%;</w:t>
      </w:r>
    </w:p>
    <w:p w:rsidR="00255FAC" w:rsidRPr="00255FAC" w:rsidRDefault="00255FAC" w:rsidP="00255FAC">
      <w:pPr>
        <w:pStyle w:val="a7"/>
        <w:numPr>
          <w:ilvl w:val="0"/>
          <w:numId w:val="9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фондовый индекс </w:t>
      </w:r>
      <w:proofErr w:type="spellStart"/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>NasdaqComposite</w:t>
      </w:r>
      <w:proofErr w:type="spellEnd"/>
      <w:r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упал</w:t>
      </w:r>
      <w:r w:rsidR="00EF0174"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2,4%. </w:t>
      </w:r>
    </w:p>
    <w:p w:rsidR="00EF0174" w:rsidRDefault="006827C2" w:rsidP="001F438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</w:t>
      </w:r>
      <w:r w:rsidR="00EF0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реализация политических рисков оказала негативный эффект на все мировые рынки и даже спустя два месяца они не смогли восстановиться.</w:t>
      </w:r>
    </w:p>
    <w:p w:rsidR="00255FAC" w:rsidRDefault="00255FAC" w:rsidP="001F438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фоне военных действий цены на нефть и газ также выросли:</w:t>
      </w:r>
    </w:p>
    <w:p w:rsidR="00255FAC" w:rsidRDefault="001F4384" w:rsidP="001F4384">
      <w:pPr>
        <w:pStyle w:val="a7"/>
        <w:numPr>
          <w:ilvl w:val="0"/>
          <w:numId w:val="9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цена одного барреля</w:t>
      </w:r>
      <w:r w:rsid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нефти торговой марки </w:t>
      </w:r>
      <w:proofErr w:type="spellStart"/>
      <w:r w:rsidR="00255FAC" w:rsidRPr="00255FAC">
        <w:rPr>
          <w:rFonts w:ascii="Times New Roman" w:hAnsi="Times New Roman" w:cs="Times New Roman"/>
          <w:sz w:val="28"/>
          <w:szCs w:val="28"/>
          <w:shd w:val="clear" w:color="auto" w:fill="FFFFFF"/>
        </w:rPr>
        <w:t>Brent</w:t>
      </w:r>
      <w:proofErr w:type="spellEnd"/>
      <w:r w:rsidR="0090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поднялась на 6,3% и достигла 103 долл.</w:t>
      </w:r>
    </w:p>
    <w:p w:rsidR="001F4384" w:rsidRPr="00255FAC" w:rsidRDefault="001F4384" w:rsidP="001F4384">
      <w:pPr>
        <w:pStyle w:val="a7"/>
        <w:numPr>
          <w:ilvl w:val="0"/>
          <w:numId w:val="9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цена газа в Европе 24 февраля достигла 1400 долл./тыс. куб. м. (по мартовскому договору), отметим, что 23 февраля цена составляла 1041 долл./тыс. куб. м.</w:t>
      </w:r>
    </w:p>
    <w:p w:rsidR="00EF0174" w:rsidRDefault="00EF0174" w:rsidP="00DE6AB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рисунке </w:t>
      </w:r>
      <w:r w:rsidR="009024A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график стоимости природного газа, в долл., за период 12.01.2022 г. по 13.04. 2022 г.</w:t>
      </w:r>
    </w:p>
    <w:p w:rsidR="00EF0174" w:rsidRPr="006B405C" w:rsidRDefault="00EF0174" w:rsidP="005A5CEE">
      <w:pPr>
        <w:jc w:val="center"/>
      </w:pPr>
      <w:r w:rsidRPr="006B405C">
        <w:rPr>
          <w:noProof/>
          <w:lang w:eastAsia="ru-RU"/>
        </w:rPr>
        <w:drawing>
          <wp:inline distT="0" distB="0" distL="0" distR="0">
            <wp:extent cx="2800232" cy="1356360"/>
            <wp:effectExtent l="0" t="0" r="635" b="0"/>
            <wp:docPr id="4" name="Рисунок 4" descr="https://sun9-77.userapi.com/impg/T6vAU1vgCVUw4hLIyz9pJ2Q3raJQH0n-Gx5VBg/5gU9Wv7KzLk.jpg?size=2560x1240&amp;quality=96&amp;sign=924e7637d4e7a3c72c4b6bed6dfcf21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7.userapi.com/impg/T6vAU1vgCVUw4hLIyz9pJ2Q3raJQH0n-Gx5VBg/5gU9Wv7KzLk.jpg?size=2560x1240&amp;quality=96&amp;sign=924e7637d4e7a3c72c4b6bed6dfcf218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380" cy="135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74" w:rsidRPr="00E86C79" w:rsidRDefault="00EF0174" w:rsidP="00EF0174">
      <w:pPr>
        <w:pStyle w:val="aa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B4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9024A4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6B4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График цены на природный газ в долл., за период с 12.01.2022 г. по 13.04.2022 гг.</w:t>
      </w:r>
    </w:p>
    <w:p w:rsidR="00473C5D" w:rsidRPr="00E86C79" w:rsidRDefault="00473C5D" w:rsidP="003C6EEE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563">
        <w:rPr>
          <w:rFonts w:ascii="Times New Roman" w:hAnsi="Times New Roman" w:cs="Times New Roman"/>
          <w:bCs/>
          <w:sz w:val="28"/>
          <w:szCs w:val="28"/>
        </w:rPr>
        <w:t>Источник: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список использованных источников </w:t>
      </w:r>
      <w:r w:rsidRPr="00473C5D">
        <w:rPr>
          <w:rFonts w:ascii="Times New Roman" w:hAnsi="Times New Roman" w:cs="Times New Roman"/>
          <w:bCs/>
          <w:sz w:val="28"/>
          <w:szCs w:val="28"/>
        </w:rPr>
        <w:t>[</w:t>
      </w:r>
      <w:r w:rsidRPr="00E86C79">
        <w:rPr>
          <w:rFonts w:ascii="Times New Roman" w:hAnsi="Times New Roman" w:cs="Times New Roman"/>
          <w:bCs/>
          <w:sz w:val="28"/>
          <w:szCs w:val="28"/>
        </w:rPr>
        <w:t>4</w:t>
      </w:r>
      <w:r w:rsidRPr="00473C5D">
        <w:rPr>
          <w:rFonts w:ascii="Times New Roman" w:hAnsi="Times New Roman" w:cs="Times New Roman"/>
          <w:bCs/>
          <w:sz w:val="28"/>
          <w:szCs w:val="28"/>
        </w:rPr>
        <w:t>].</w:t>
      </w:r>
    </w:p>
    <w:p w:rsidR="00EF0174" w:rsidRPr="00DD43B1" w:rsidRDefault="00EF0174" w:rsidP="003C6E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российского рынка акций в этот период</w:t>
      </w:r>
      <w:r w:rsidRPr="00DD4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0C7BBB">
        <w:rPr>
          <w:rFonts w:ascii="Times New Roman" w:hAnsi="Times New Roman" w:cs="Times New Roman"/>
          <w:sz w:val="28"/>
          <w:szCs w:val="28"/>
          <w:shd w:val="clear" w:color="auto" w:fill="FFFFFF"/>
        </w:rPr>
        <w:t>ретроспективе</w:t>
      </w:r>
      <w:r w:rsidRPr="00DD4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сопоставим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D4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дефолтом 1997 г.</w:t>
      </w:r>
    </w:p>
    <w:p w:rsidR="000C7BBB" w:rsidRDefault="00EF0174" w:rsidP="003C6E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Курс р</w:t>
      </w:r>
      <w:r w:rsidRPr="00DD43B1">
        <w:rPr>
          <w:rFonts w:ascii="Times New Roman" w:hAnsi="Times New Roman" w:cs="Times New Roman"/>
          <w:sz w:val="28"/>
          <w:szCs w:val="28"/>
          <w:shd w:val="clear" w:color="auto" w:fill="FFFFFF"/>
        </w:rPr>
        <w:t>убл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продемонстрировал </w:t>
      </w:r>
      <w:r w:rsidRPr="00DD43B1">
        <w:rPr>
          <w:rFonts w:ascii="Times New Roman" w:hAnsi="Times New Roman" w:cs="Times New Roman"/>
          <w:sz w:val="28"/>
          <w:szCs w:val="28"/>
          <w:shd w:val="clear" w:color="auto" w:fill="FFFFFF"/>
        </w:rPr>
        <w:t>резко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снижение</w:t>
      </w:r>
      <w:r w:rsidR="000C7BB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C7BBB" w:rsidRDefault="000C7BBB" w:rsidP="003C6EEE">
      <w:pPr>
        <w:pStyle w:val="a7"/>
        <w:numPr>
          <w:ilvl w:val="0"/>
          <w:numId w:val="9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валютная пара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USD</w:t>
      </w:r>
      <w:r w:rsidRPr="000C7BB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RUB</w:t>
      </w:r>
      <w:r w:rsidR="0090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выросла до 86;</w:t>
      </w:r>
    </w:p>
    <w:p w:rsidR="000C7BBB" w:rsidRPr="000C7BBB" w:rsidRDefault="000C7BBB" w:rsidP="003C6EEE">
      <w:pPr>
        <w:pStyle w:val="a7"/>
        <w:numPr>
          <w:ilvl w:val="0"/>
          <w:numId w:val="9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валютная пара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EUR</w:t>
      </w:r>
      <w:r w:rsidRPr="000C7BB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выросла до 97.</w:t>
      </w:r>
    </w:p>
    <w:p w:rsidR="000C7BBB" w:rsidRDefault="003C6EEE" w:rsidP="003C6E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E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тобы стабилизировать ситуацию на финансовом рынке ЦБ РФ принял следующие решения:</w:t>
      </w:r>
    </w:p>
    <w:p w:rsidR="003C6EEE" w:rsidRDefault="003C6EEE" w:rsidP="003C6EEE">
      <w:pPr>
        <w:pStyle w:val="a7"/>
        <w:numPr>
          <w:ilvl w:val="0"/>
          <w:numId w:val="10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интервенций на валютном рынке;</w:t>
      </w:r>
    </w:p>
    <w:p w:rsidR="003C6EEE" w:rsidRPr="007B4825" w:rsidRDefault="003C6EEE" w:rsidP="003C6EEE">
      <w:pPr>
        <w:pStyle w:val="a7"/>
        <w:numPr>
          <w:ilvl w:val="0"/>
          <w:numId w:val="10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825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ломбардного списка;</w:t>
      </w:r>
    </w:p>
    <w:p w:rsidR="003C6EEE" w:rsidRPr="003C6EEE" w:rsidRDefault="003C6EEE" w:rsidP="003C6EEE">
      <w:pPr>
        <w:pStyle w:val="a7"/>
        <w:numPr>
          <w:ilvl w:val="0"/>
          <w:numId w:val="10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операций по предоставление дополнительной ликвидности банковскому сектору.</w:t>
      </w:r>
    </w:p>
    <w:p w:rsidR="00EF0174" w:rsidRPr="00DD43B1" w:rsidRDefault="00F55F55" w:rsidP="0096387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Поддержание стабильности российской банковской системы требовало принятия неотложных мер, связанных с такими ограничениями иностранных государств на финансовые </w:t>
      </w:r>
      <w:r w:rsidR="00EF0174" w:rsidRPr="00DD43B1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как:</w:t>
      </w:r>
    </w:p>
    <w:p w:rsidR="00F55F55" w:rsidRPr="00F55F55" w:rsidRDefault="00EF0174" w:rsidP="0096387D">
      <w:pPr>
        <w:pStyle w:val="a7"/>
        <w:numPr>
          <w:ilvl w:val="0"/>
          <w:numId w:val="11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F55">
        <w:rPr>
          <w:rFonts w:ascii="Times New Roman" w:hAnsi="Times New Roman" w:cs="Times New Roman"/>
          <w:sz w:val="28"/>
          <w:szCs w:val="28"/>
          <w:lang w:eastAsia="ru-RU"/>
        </w:rPr>
        <w:t>запре</w:t>
      </w:r>
      <w:r w:rsidR="00F55F55" w:rsidRPr="00F55F5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024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6EEE">
        <w:rPr>
          <w:rFonts w:ascii="Times New Roman" w:hAnsi="Times New Roman" w:cs="Times New Roman"/>
          <w:sz w:val="28"/>
          <w:szCs w:val="28"/>
          <w:lang w:eastAsia="ru-RU"/>
        </w:rPr>
        <w:t xml:space="preserve">американским банкам обрабатывать транзакции для крупных российских кредитных организаций, </w:t>
      </w:r>
      <w:r w:rsidR="00F55F55" w:rsidRPr="003C6EE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Pr="003C6EEE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="00F55F55" w:rsidRPr="003C6EEE">
        <w:rPr>
          <w:rFonts w:ascii="Times New Roman" w:hAnsi="Times New Roman" w:cs="Times New Roman"/>
          <w:sz w:val="28"/>
          <w:szCs w:val="28"/>
          <w:lang w:eastAsia="ru-RU"/>
        </w:rPr>
        <w:t>рыва</w:t>
      </w:r>
      <w:r w:rsidRPr="003C6EEE">
        <w:rPr>
          <w:rFonts w:ascii="Times New Roman" w:hAnsi="Times New Roman" w:cs="Times New Roman"/>
          <w:sz w:val="28"/>
          <w:szCs w:val="28"/>
          <w:lang w:eastAsia="ru-RU"/>
        </w:rPr>
        <w:t xml:space="preserve"> межбанковски</w:t>
      </w:r>
      <w:r w:rsidR="00F55F55" w:rsidRPr="003C6EE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3C6EEE">
        <w:rPr>
          <w:rFonts w:ascii="Times New Roman" w:hAnsi="Times New Roman" w:cs="Times New Roman"/>
          <w:sz w:val="28"/>
          <w:szCs w:val="28"/>
          <w:lang w:eastAsia="ru-RU"/>
        </w:rPr>
        <w:t xml:space="preserve"> корреспондентски</w:t>
      </w:r>
      <w:r w:rsidR="00F55F55" w:rsidRPr="003C6EE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9024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5F55">
        <w:rPr>
          <w:rFonts w:ascii="Times New Roman" w:hAnsi="Times New Roman" w:cs="Times New Roman"/>
          <w:sz w:val="28"/>
          <w:szCs w:val="28"/>
          <w:lang w:eastAsia="ru-RU"/>
        </w:rPr>
        <w:t>цепоч</w:t>
      </w:r>
      <w:r w:rsidR="00F55F55" w:rsidRPr="00F55F55">
        <w:rPr>
          <w:rFonts w:ascii="Times New Roman" w:hAnsi="Times New Roman" w:cs="Times New Roman"/>
          <w:sz w:val="28"/>
          <w:szCs w:val="28"/>
          <w:lang w:eastAsia="ru-RU"/>
        </w:rPr>
        <w:t>ек;</w:t>
      </w:r>
    </w:p>
    <w:p w:rsidR="00EF0174" w:rsidRDefault="00EF0174" w:rsidP="0096387D">
      <w:pPr>
        <w:pStyle w:val="a7"/>
        <w:numPr>
          <w:ilvl w:val="0"/>
          <w:numId w:val="11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F55"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ограничение доступа </w:t>
      </w:r>
      <w:r w:rsidR="0096387D"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Pr="00F55F55">
        <w:rPr>
          <w:rFonts w:ascii="Times New Roman" w:hAnsi="Times New Roman" w:cs="Times New Roman"/>
          <w:sz w:val="28"/>
          <w:szCs w:val="28"/>
          <w:lang w:eastAsia="ru-RU"/>
        </w:rPr>
        <w:t xml:space="preserve"> к международной межбанковской системе SWIFT</w:t>
      </w:r>
      <w:r w:rsidR="0096387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5F55" w:rsidRPr="00A9203C" w:rsidRDefault="0096387D" w:rsidP="00A9203C">
      <w:pPr>
        <w:pStyle w:val="a7"/>
        <w:numPr>
          <w:ilvl w:val="0"/>
          <w:numId w:val="11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заморозка активов ЦБ РФ.</w:t>
      </w:r>
    </w:p>
    <w:p w:rsidR="00A9203C" w:rsidRDefault="00A9203C" w:rsidP="00DE6AB6">
      <w:pPr>
        <w:pStyle w:val="a9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Решения ЦБ РФ, во-первых направлены на борьбу с утечкой капитала. </w:t>
      </w:r>
      <w:r w:rsidR="00815584">
        <w:rPr>
          <w:sz w:val="28"/>
          <w:szCs w:val="28"/>
          <w:shd w:val="clear" w:color="auto" w:fill="FFFFFF"/>
        </w:rPr>
        <w:t>Во-вторых,</w:t>
      </w:r>
      <w:r>
        <w:rPr>
          <w:sz w:val="28"/>
          <w:szCs w:val="28"/>
          <w:shd w:val="clear" w:color="auto" w:fill="FFFFFF"/>
        </w:rPr>
        <w:t xml:space="preserve"> на регулирование и поддержание курса рубля.</w:t>
      </w:r>
    </w:p>
    <w:p w:rsidR="002B4071" w:rsidRDefault="00815584" w:rsidP="00DE6AB6">
      <w:pPr>
        <w:pStyle w:val="a9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Стоит отметить, что даже в условиях </w:t>
      </w:r>
      <w:r w:rsidR="009024A4">
        <w:rPr>
          <w:sz w:val="28"/>
          <w:szCs w:val="28"/>
          <w:shd w:val="clear" w:color="auto" w:fill="FFFFFF"/>
        </w:rPr>
        <w:t>частичной</w:t>
      </w:r>
      <w:r>
        <w:rPr>
          <w:sz w:val="28"/>
          <w:szCs w:val="28"/>
          <w:shd w:val="clear" w:color="auto" w:fill="FFFFFF"/>
        </w:rPr>
        <w:t xml:space="preserve"> блокировки международных резервов ЦБ, инструменты валютного</w:t>
      </w:r>
      <w:r w:rsidR="00F01DE0">
        <w:rPr>
          <w:sz w:val="28"/>
          <w:szCs w:val="28"/>
          <w:shd w:val="clear" w:color="auto" w:fill="FFFFFF"/>
        </w:rPr>
        <w:t xml:space="preserve"> контроля</w:t>
      </w:r>
      <w:r w:rsidR="009024A4">
        <w:rPr>
          <w:sz w:val="28"/>
          <w:szCs w:val="28"/>
          <w:shd w:val="clear" w:color="auto" w:fill="FFFFFF"/>
        </w:rPr>
        <w:t xml:space="preserve"> </w:t>
      </w:r>
      <w:r w:rsidR="00F01DE0">
        <w:rPr>
          <w:sz w:val="28"/>
          <w:szCs w:val="28"/>
          <w:shd w:val="clear" w:color="auto" w:fill="FFFFFF"/>
        </w:rPr>
        <w:t>действенны</w:t>
      </w:r>
      <w:r w:rsidR="002B4071">
        <w:rPr>
          <w:sz w:val="28"/>
          <w:szCs w:val="28"/>
          <w:shd w:val="clear" w:color="auto" w:fill="FFFFFF"/>
        </w:rPr>
        <w:t>. Одним из инструментов валютного контроля является запрет зачисления валюты на зарубежные счета, который призван снизить утечку капитала.</w:t>
      </w:r>
    </w:p>
    <w:p w:rsidR="00EF0174" w:rsidRPr="007B4825" w:rsidRDefault="007B4825" w:rsidP="007B4825">
      <w:pPr>
        <w:pStyle w:val="a9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highlight w:val="yellow"/>
          <w:shd w:val="clear" w:color="auto" w:fill="FFFFFF"/>
        </w:rPr>
      </w:pPr>
      <w:r w:rsidRPr="007B4825">
        <w:rPr>
          <w:bCs/>
          <w:sz w:val="28"/>
          <w:szCs w:val="28"/>
          <w:shd w:val="clear" w:color="auto" w:fill="FFFFFF"/>
        </w:rPr>
        <w:t>Расширение</w:t>
      </w:r>
      <w:r w:rsidRPr="007B4825">
        <w:rPr>
          <w:sz w:val="28"/>
          <w:szCs w:val="28"/>
          <w:shd w:val="clear" w:color="auto" w:fill="FFFFFF"/>
        </w:rPr>
        <w:t xml:space="preserve"> </w:t>
      </w:r>
      <w:r w:rsidRPr="007B4825">
        <w:rPr>
          <w:bCs/>
          <w:sz w:val="28"/>
          <w:szCs w:val="28"/>
          <w:shd w:val="clear" w:color="auto" w:fill="FFFFFF"/>
        </w:rPr>
        <w:t>ломбардного</w:t>
      </w:r>
      <w:r w:rsidRPr="007B4825">
        <w:rPr>
          <w:sz w:val="28"/>
          <w:szCs w:val="28"/>
          <w:shd w:val="clear" w:color="auto" w:fill="FFFFFF"/>
        </w:rPr>
        <w:t xml:space="preserve"> </w:t>
      </w:r>
      <w:r w:rsidRPr="007B4825">
        <w:rPr>
          <w:bCs/>
          <w:sz w:val="28"/>
          <w:szCs w:val="28"/>
          <w:shd w:val="clear" w:color="auto" w:fill="FFFFFF"/>
        </w:rPr>
        <w:t>списка</w:t>
      </w:r>
      <w:r w:rsidRPr="007B4825">
        <w:rPr>
          <w:sz w:val="28"/>
          <w:szCs w:val="28"/>
          <w:shd w:val="clear" w:color="auto" w:fill="FFFFFF"/>
        </w:rPr>
        <w:t xml:space="preserve"> позволит коммерческим банкам привлекать средства у ЦБ под залог большего количества ценных бумаг, что увеличит ликвидность этих ценных бумаг на рынке облигаций. Также</w:t>
      </w:r>
      <w:r w:rsidR="00EF0174" w:rsidRPr="007B4825">
        <w:rPr>
          <w:sz w:val="28"/>
          <w:szCs w:val="28"/>
          <w:shd w:val="clear" w:color="auto" w:fill="FFFFFF"/>
        </w:rPr>
        <w:t>,</w:t>
      </w:r>
      <w:r w:rsidRPr="007B4825">
        <w:rPr>
          <w:sz w:val="28"/>
          <w:szCs w:val="28"/>
          <w:shd w:val="clear" w:color="auto" w:fill="FFFFFF"/>
        </w:rPr>
        <w:t xml:space="preserve"> это</w:t>
      </w:r>
      <w:r w:rsidR="00EF0174" w:rsidRPr="007B4825">
        <w:rPr>
          <w:sz w:val="28"/>
          <w:szCs w:val="28"/>
          <w:shd w:val="clear" w:color="auto" w:fill="FFFFFF"/>
        </w:rPr>
        <w:t xml:space="preserve"> направлено на повышение их капитализации</w:t>
      </w:r>
      <w:r w:rsidR="00EF0174" w:rsidRPr="007B4825">
        <w:rPr>
          <w:sz w:val="28"/>
          <w:szCs w:val="28"/>
        </w:rPr>
        <w:t xml:space="preserve">, которая </w:t>
      </w:r>
      <w:r w:rsidR="009024A4" w:rsidRPr="007B4825">
        <w:rPr>
          <w:sz w:val="28"/>
          <w:szCs w:val="28"/>
        </w:rPr>
        <w:t>снизилась</w:t>
      </w:r>
      <w:r w:rsidR="00EF0174" w:rsidRPr="007B4825">
        <w:rPr>
          <w:sz w:val="28"/>
          <w:szCs w:val="28"/>
        </w:rPr>
        <w:t xml:space="preserve"> на продажах иностранных инвесторов.</w:t>
      </w:r>
      <w:r w:rsidR="009024A4" w:rsidRPr="007B4825">
        <w:rPr>
          <w:sz w:val="28"/>
          <w:szCs w:val="28"/>
        </w:rPr>
        <w:t xml:space="preserve"> </w:t>
      </w:r>
      <w:r w:rsidR="00EF0174" w:rsidRPr="007B4825">
        <w:rPr>
          <w:sz w:val="28"/>
          <w:szCs w:val="28"/>
        </w:rPr>
        <w:t xml:space="preserve">Этой мерой </w:t>
      </w:r>
      <w:r w:rsidR="00F01DE0" w:rsidRPr="007B4825">
        <w:rPr>
          <w:sz w:val="28"/>
          <w:szCs w:val="28"/>
          <w:shd w:val="clear" w:color="auto" w:fill="FFFFFF"/>
        </w:rPr>
        <w:t>могут пользоваться</w:t>
      </w:r>
      <w:r w:rsidR="009024A4" w:rsidRPr="007B4825">
        <w:rPr>
          <w:sz w:val="28"/>
          <w:szCs w:val="28"/>
          <w:shd w:val="clear" w:color="auto" w:fill="FFFFFF"/>
        </w:rPr>
        <w:t xml:space="preserve"> </w:t>
      </w:r>
      <w:proofErr w:type="spellStart"/>
      <w:r w:rsidR="00EF0174" w:rsidRPr="007B4825">
        <w:rPr>
          <w:sz w:val="28"/>
          <w:szCs w:val="28"/>
          <w:shd w:val="clear" w:color="auto" w:fill="FFFFFF"/>
        </w:rPr>
        <w:t>незакредитованные</w:t>
      </w:r>
      <w:proofErr w:type="spellEnd"/>
      <w:r w:rsidR="00EF0174" w:rsidRPr="007B4825">
        <w:rPr>
          <w:sz w:val="28"/>
          <w:szCs w:val="28"/>
          <w:shd w:val="clear" w:color="auto" w:fill="FFFFFF"/>
        </w:rPr>
        <w:t xml:space="preserve"> компании</w:t>
      </w:r>
      <w:r w:rsidR="00EF0174" w:rsidRPr="007B4825">
        <w:rPr>
          <w:sz w:val="28"/>
          <w:szCs w:val="28"/>
        </w:rPr>
        <w:t xml:space="preserve">, в первую очередь сырьевые экспортеры, но </w:t>
      </w:r>
      <w:r w:rsidR="00EF0174" w:rsidRPr="007B4825">
        <w:rPr>
          <w:sz w:val="28"/>
          <w:szCs w:val="28"/>
          <w:shd w:val="clear" w:color="auto" w:fill="FFFFFF"/>
        </w:rPr>
        <w:t>для банков</w:t>
      </w:r>
      <w:r w:rsidR="00566FFB" w:rsidRPr="007B4825">
        <w:rPr>
          <w:sz w:val="28"/>
          <w:szCs w:val="28"/>
          <w:shd w:val="clear" w:color="auto" w:fill="FFFFFF"/>
        </w:rPr>
        <w:t xml:space="preserve"> они</w:t>
      </w:r>
      <w:r w:rsidR="00EF0174" w:rsidRPr="007B4825">
        <w:rPr>
          <w:sz w:val="28"/>
          <w:szCs w:val="28"/>
          <w:shd w:val="clear" w:color="auto" w:fill="FFFFFF"/>
        </w:rPr>
        <w:t xml:space="preserve"> пока не очень актуальны</w:t>
      </w:r>
      <w:r w:rsidR="00EF0174" w:rsidRPr="007B4825">
        <w:rPr>
          <w:sz w:val="28"/>
          <w:szCs w:val="28"/>
        </w:rPr>
        <w:t>.</w:t>
      </w:r>
    </w:p>
    <w:p w:rsidR="007B4825" w:rsidRDefault="007B4825" w:rsidP="00663ECE">
      <w:pPr>
        <w:pStyle w:val="a9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мой взгляд, </w:t>
      </w:r>
      <w:r w:rsidR="00663ECE">
        <w:rPr>
          <w:sz w:val="28"/>
          <w:szCs w:val="28"/>
        </w:rPr>
        <w:t xml:space="preserve">в настоящее время наиболее эффективной мерой для расширения внутреннего производства и реализации программы </w:t>
      </w:r>
      <w:proofErr w:type="spellStart"/>
      <w:r w:rsidR="00663ECE">
        <w:rPr>
          <w:sz w:val="28"/>
          <w:szCs w:val="28"/>
        </w:rPr>
        <w:t>импортозамещения</w:t>
      </w:r>
      <w:proofErr w:type="spellEnd"/>
      <w:r w:rsidR="00663ECE">
        <w:rPr>
          <w:sz w:val="28"/>
          <w:szCs w:val="28"/>
        </w:rPr>
        <w:t xml:space="preserve"> в России будет являться дальнейшее</w:t>
      </w:r>
      <w:r>
        <w:rPr>
          <w:sz w:val="28"/>
          <w:szCs w:val="28"/>
        </w:rPr>
        <w:t xml:space="preserve"> сни</w:t>
      </w:r>
      <w:r w:rsidR="00663ECE">
        <w:rPr>
          <w:sz w:val="28"/>
          <w:szCs w:val="28"/>
        </w:rPr>
        <w:t>жение</w:t>
      </w:r>
      <w:r>
        <w:rPr>
          <w:sz w:val="28"/>
          <w:szCs w:val="28"/>
        </w:rPr>
        <w:t xml:space="preserve"> ключев</w:t>
      </w:r>
      <w:r w:rsidR="00663ECE">
        <w:rPr>
          <w:sz w:val="28"/>
          <w:szCs w:val="28"/>
        </w:rPr>
        <w:t>ой</w:t>
      </w:r>
      <w:r>
        <w:rPr>
          <w:sz w:val="28"/>
          <w:szCs w:val="28"/>
        </w:rPr>
        <w:t xml:space="preserve"> ставк</w:t>
      </w:r>
      <w:r w:rsidR="00663ECE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663ECE">
        <w:rPr>
          <w:sz w:val="28"/>
          <w:szCs w:val="28"/>
        </w:rPr>
        <w:t xml:space="preserve">при том, что </w:t>
      </w:r>
      <w:r>
        <w:rPr>
          <w:sz w:val="28"/>
          <w:szCs w:val="28"/>
        </w:rPr>
        <w:t xml:space="preserve">она уже снижена 20% до 17%. Понижение ключевой ставки, это в первую очередь дешевые кредиты, </w:t>
      </w:r>
      <w:r w:rsidR="00663ECE">
        <w:rPr>
          <w:sz w:val="28"/>
          <w:szCs w:val="28"/>
        </w:rPr>
        <w:t>стимулирующие развитие экономики</w:t>
      </w:r>
      <w:r>
        <w:rPr>
          <w:sz w:val="28"/>
          <w:szCs w:val="28"/>
        </w:rPr>
        <w:t xml:space="preserve">. </w:t>
      </w:r>
    </w:p>
    <w:p w:rsidR="007B4825" w:rsidRPr="007B4825" w:rsidRDefault="007B4825" w:rsidP="007B4825">
      <w:pPr>
        <w:pStyle w:val="a9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</w:rPr>
        <w:t xml:space="preserve">Также стоит </w:t>
      </w:r>
      <w:r w:rsidR="00663ECE">
        <w:rPr>
          <w:sz w:val="28"/>
          <w:szCs w:val="28"/>
        </w:rPr>
        <w:t>отметить</w:t>
      </w:r>
      <w:r>
        <w:rPr>
          <w:sz w:val="28"/>
          <w:szCs w:val="28"/>
        </w:rPr>
        <w:t>, что ставка продолжает влиять на</w:t>
      </w:r>
      <w:r w:rsidR="00663ECE">
        <w:rPr>
          <w:sz w:val="28"/>
          <w:szCs w:val="28"/>
        </w:rPr>
        <w:t xml:space="preserve"> уровень</w:t>
      </w:r>
      <w:r>
        <w:rPr>
          <w:sz w:val="28"/>
          <w:szCs w:val="28"/>
        </w:rPr>
        <w:t xml:space="preserve"> потребление </w:t>
      </w:r>
      <w:r w:rsidR="00663ECE">
        <w:rPr>
          <w:sz w:val="28"/>
          <w:szCs w:val="28"/>
        </w:rPr>
        <w:t xml:space="preserve">и </w:t>
      </w:r>
      <w:r>
        <w:rPr>
          <w:sz w:val="28"/>
          <w:szCs w:val="28"/>
        </w:rPr>
        <w:t>сбережения. Влияние снижени</w:t>
      </w:r>
      <w:r w:rsidR="00663ECE">
        <w:rPr>
          <w:sz w:val="28"/>
          <w:szCs w:val="28"/>
        </w:rPr>
        <w:t>я</w:t>
      </w:r>
      <w:r>
        <w:rPr>
          <w:sz w:val="28"/>
          <w:szCs w:val="28"/>
        </w:rPr>
        <w:t xml:space="preserve"> ставки на курс </w:t>
      </w:r>
      <w:r w:rsidR="00663ECE">
        <w:rPr>
          <w:sz w:val="28"/>
          <w:szCs w:val="28"/>
        </w:rPr>
        <w:t xml:space="preserve">национальной </w:t>
      </w:r>
      <w:r w:rsidR="00F0275C">
        <w:rPr>
          <w:sz w:val="28"/>
          <w:szCs w:val="28"/>
        </w:rPr>
        <w:t>валюты,</w:t>
      </w:r>
      <w:r w:rsidR="00663ECE">
        <w:rPr>
          <w:sz w:val="28"/>
          <w:szCs w:val="28"/>
        </w:rPr>
        <w:t xml:space="preserve"> </w:t>
      </w:r>
      <w:bookmarkStart w:id="0" w:name="_GoBack"/>
      <w:bookmarkEnd w:id="0"/>
      <w:r w:rsidR="00F0275C">
        <w:rPr>
          <w:sz w:val="28"/>
          <w:szCs w:val="28"/>
        </w:rPr>
        <w:t>вероятно,</w:t>
      </w:r>
      <w:r>
        <w:rPr>
          <w:sz w:val="28"/>
          <w:szCs w:val="28"/>
        </w:rPr>
        <w:t xml:space="preserve"> будет ограниченным, так как может сохраниться </w:t>
      </w:r>
      <w:r>
        <w:rPr>
          <w:sz w:val="28"/>
          <w:szCs w:val="28"/>
        </w:rPr>
        <w:lastRenderedPageBreak/>
        <w:t>дисбаланс между спросом и предложением валюты, на мой взгляд, в первую очередь из-за проблем с импортом. Конечно, можно рассмотреть и положительный прогноз, высокие цены на экспортируемые товары, сокращение импорта и ограничение на вывод капитала, скорее всего в ближайшем будущем будут способствовать укреплению рубля.</w:t>
      </w:r>
    </w:p>
    <w:p w:rsidR="00962460" w:rsidRDefault="00962460" w:rsidP="0096246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Уже сегодня можно прогнозировать, что указанные меры провоцируют реализацию широкого спектра рисков, который отразится на основных показателях экономики.</w:t>
      </w:r>
    </w:p>
    <w:p w:rsidR="00962460" w:rsidRDefault="00566FFB" w:rsidP="0096246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рисунках </w:t>
      </w:r>
      <w:r w:rsidR="00311CA8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11CA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62460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представлены экономические показатели из разных стран на 2021 год.</w:t>
      </w:r>
    </w:p>
    <w:p w:rsidR="00962460" w:rsidRPr="00135F8C" w:rsidRDefault="00962460" w:rsidP="00962460">
      <w:pPr>
        <w:jc w:val="center"/>
      </w:pPr>
      <w:r w:rsidRPr="00135F8C">
        <w:rPr>
          <w:noProof/>
          <w:lang w:eastAsia="ru-RU"/>
        </w:rPr>
        <w:drawing>
          <wp:inline distT="0" distB="0" distL="0" distR="0">
            <wp:extent cx="5654040" cy="2369820"/>
            <wp:effectExtent l="0" t="0" r="22860" b="114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2460" w:rsidRDefault="00962460" w:rsidP="00962460">
      <w:pPr>
        <w:pStyle w:val="aa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5F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7B4825" w:rsidRPr="007B48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713F22">
        <w:rPr>
          <w:rFonts w:ascii="Times New Roman" w:hAnsi="Times New Roman" w:cs="Times New Roman"/>
          <w:b w:val="0"/>
          <w:color w:val="auto"/>
          <w:sz w:val="28"/>
          <w:szCs w:val="28"/>
        </w:rPr>
        <w:t>ВВП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Госдолг, </w:t>
      </w:r>
      <w:r w:rsidRPr="00135F8C">
        <w:rPr>
          <w:rFonts w:ascii="Times New Roman" w:hAnsi="Times New Roman" w:cs="Times New Roman"/>
          <w:b w:val="0"/>
          <w:color w:val="auto"/>
          <w:sz w:val="28"/>
          <w:szCs w:val="28"/>
        </w:rPr>
        <w:t>2021, млрд. долл.</w:t>
      </w:r>
    </w:p>
    <w:p w:rsidR="00962460" w:rsidRPr="00AD55D2" w:rsidRDefault="00962460" w:rsidP="00962460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563">
        <w:rPr>
          <w:rFonts w:ascii="Times New Roman" w:hAnsi="Times New Roman" w:cs="Times New Roman"/>
          <w:bCs/>
          <w:sz w:val="28"/>
          <w:szCs w:val="28"/>
        </w:rPr>
        <w:t>Источник: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список использованных источников </w:t>
      </w:r>
      <w:r w:rsidRPr="00473C5D">
        <w:rPr>
          <w:rFonts w:ascii="Times New Roman" w:hAnsi="Times New Roman" w:cs="Times New Roman"/>
          <w:bCs/>
          <w:sz w:val="28"/>
          <w:szCs w:val="28"/>
        </w:rPr>
        <w:t>[</w:t>
      </w:r>
      <w:r w:rsidR="007B4825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473C5D">
        <w:rPr>
          <w:rFonts w:ascii="Times New Roman" w:hAnsi="Times New Roman" w:cs="Times New Roman"/>
          <w:bCs/>
          <w:sz w:val="28"/>
          <w:szCs w:val="28"/>
        </w:rPr>
        <w:t>].</w:t>
      </w:r>
    </w:p>
    <w:p w:rsidR="00962460" w:rsidRPr="00135F8C" w:rsidRDefault="00962460" w:rsidP="00962460">
      <w:pPr>
        <w:jc w:val="center"/>
      </w:pPr>
      <w:r w:rsidRPr="00135F8C">
        <w:rPr>
          <w:noProof/>
          <w:lang w:eastAsia="ru-RU"/>
        </w:rPr>
        <w:drawing>
          <wp:inline distT="0" distB="0" distL="0" distR="0">
            <wp:extent cx="5623560" cy="2148840"/>
            <wp:effectExtent l="0" t="0" r="15240" b="2286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2460" w:rsidRDefault="00962460" w:rsidP="00962460">
      <w:pPr>
        <w:pStyle w:val="aa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5F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7B4825" w:rsidRPr="007B48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–Валютные резервы, </w:t>
      </w:r>
      <w:r w:rsidRPr="00135F8C">
        <w:rPr>
          <w:rFonts w:ascii="Times New Roman" w:hAnsi="Times New Roman" w:cs="Times New Roman"/>
          <w:b w:val="0"/>
          <w:color w:val="auto"/>
          <w:sz w:val="28"/>
          <w:szCs w:val="28"/>
        </w:rPr>
        <w:t>2021 год, млрд. долл.</w:t>
      </w:r>
    </w:p>
    <w:p w:rsidR="00CA4FC1" w:rsidRPr="00CA4FC1" w:rsidRDefault="00CA4FC1" w:rsidP="00CA4FC1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563">
        <w:rPr>
          <w:rFonts w:ascii="Times New Roman" w:hAnsi="Times New Roman" w:cs="Times New Roman"/>
          <w:bCs/>
          <w:sz w:val="28"/>
          <w:szCs w:val="28"/>
        </w:rPr>
        <w:t>Источник: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список использованных источников </w:t>
      </w:r>
      <w:r w:rsidRPr="00473C5D">
        <w:rPr>
          <w:rFonts w:ascii="Times New Roman" w:hAnsi="Times New Roman" w:cs="Times New Roman"/>
          <w:bCs/>
          <w:sz w:val="28"/>
          <w:szCs w:val="28"/>
        </w:rPr>
        <w:t>[</w:t>
      </w:r>
      <w:r w:rsidR="007B4825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473C5D">
        <w:rPr>
          <w:rFonts w:ascii="Times New Roman" w:hAnsi="Times New Roman" w:cs="Times New Roman"/>
          <w:bCs/>
          <w:sz w:val="28"/>
          <w:szCs w:val="28"/>
        </w:rPr>
        <w:t>].</w:t>
      </w:r>
    </w:p>
    <w:p w:rsidR="00713F22" w:rsidRPr="00713F22" w:rsidRDefault="00E54E11" w:rsidP="00713F22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713F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5940" cy="2026920"/>
            <wp:effectExtent l="0" t="0" r="2286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4E11" w:rsidRPr="00713F22" w:rsidRDefault="00713F22" w:rsidP="00713F22">
      <w:pPr>
        <w:pStyle w:val="aa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13F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7B4825" w:rsidRPr="007B4825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713F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Чистый экспорт, 2021 год, млрд. долл.</w:t>
      </w:r>
    </w:p>
    <w:p w:rsidR="00962460" w:rsidRPr="00AD55D2" w:rsidRDefault="00962460" w:rsidP="00962460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563">
        <w:rPr>
          <w:rFonts w:ascii="Times New Roman" w:hAnsi="Times New Roman" w:cs="Times New Roman"/>
          <w:bCs/>
          <w:sz w:val="28"/>
          <w:szCs w:val="28"/>
        </w:rPr>
        <w:t>Источник: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список использованных источников </w:t>
      </w:r>
      <w:r w:rsidRPr="00473C5D">
        <w:rPr>
          <w:rFonts w:ascii="Times New Roman" w:hAnsi="Times New Roman" w:cs="Times New Roman"/>
          <w:bCs/>
          <w:sz w:val="28"/>
          <w:szCs w:val="28"/>
        </w:rPr>
        <w:t>[</w:t>
      </w:r>
      <w:r w:rsidR="007B4825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Pr="00473C5D">
        <w:rPr>
          <w:rFonts w:ascii="Times New Roman" w:hAnsi="Times New Roman" w:cs="Times New Roman"/>
          <w:bCs/>
          <w:sz w:val="28"/>
          <w:szCs w:val="28"/>
        </w:rPr>
        <w:t>].</w:t>
      </w:r>
    </w:p>
    <w:p w:rsidR="00962460" w:rsidRPr="00135F8C" w:rsidRDefault="00962460" w:rsidP="00962460">
      <w:pPr>
        <w:jc w:val="center"/>
      </w:pPr>
      <w:r w:rsidRPr="00805A35">
        <w:rPr>
          <w:noProof/>
          <w:lang w:eastAsia="ru-RU"/>
        </w:rPr>
        <w:drawing>
          <wp:inline distT="0" distB="0" distL="0" distR="0">
            <wp:extent cx="5577840" cy="2278380"/>
            <wp:effectExtent l="0" t="0" r="22860" b="266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62460" w:rsidRDefault="00962460" w:rsidP="00962460">
      <w:pPr>
        <w:pStyle w:val="aa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5F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7B4825" w:rsidRPr="007B48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–Инфляция и % ставка, </w:t>
      </w:r>
      <w:r w:rsidRPr="00135F8C">
        <w:rPr>
          <w:rFonts w:ascii="Times New Roman" w:hAnsi="Times New Roman" w:cs="Times New Roman"/>
          <w:b w:val="0"/>
          <w:color w:val="auto"/>
          <w:sz w:val="28"/>
          <w:szCs w:val="28"/>
        </w:rPr>
        <w:t>2021 год, %</w:t>
      </w:r>
    </w:p>
    <w:p w:rsidR="00962460" w:rsidRDefault="00962460" w:rsidP="00962460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563">
        <w:rPr>
          <w:rFonts w:ascii="Times New Roman" w:hAnsi="Times New Roman" w:cs="Times New Roman"/>
          <w:bCs/>
          <w:sz w:val="28"/>
          <w:szCs w:val="28"/>
        </w:rPr>
        <w:t>Источник: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список использованных источников </w:t>
      </w:r>
      <w:r w:rsidRPr="00473C5D">
        <w:rPr>
          <w:rFonts w:ascii="Times New Roman" w:hAnsi="Times New Roman" w:cs="Times New Roman"/>
          <w:bCs/>
          <w:sz w:val="28"/>
          <w:szCs w:val="28"/>
        </w:rPr>
        <w:t>[</w:t>
      </w:r>
      <w:r w:rsidR="007B4825" w:rsidRPr="007B4825">
        <w:rPr>
          <w:rFonts w:ascii="Times New Roman" w:hAnsi="Times New Roman" w:cs="Times New Roman"/>
          <w:bCs/>
          <w:sz w:val="28"/>
          <w:szCs w:val="28"/>
        </w:rPr>
        <w:t>7</w:t>
      </w:r>
      <w:r w:rsidRPr="00473C5D">
        <w:rPr>
          <w:rFonts w:ascii="Times New Roman" w:hAnsi="Times New Roman" w:cs="Times New Roman"/>
          <w:bCs/>
          <w:sz w:val="28"/>
          <w:szCs w:val="28"/>
        </w:rPr>
        <w:t>].</w:t>
      </w:r>
    </w:p>
    <w:p w:rsidR="003678AF" w:rsidRDefault="003678AF" w:rsidP="00962460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Проведя анализ экономических показателей за 2021 год, было выявлено, что у США и Китая наиболее высокий уровень ВВП, а именно 22 900 и 16 900 млрд. долл. соответственно. У остальных анализируемых стран значения по объему ВВП не превышает 5 000 млрд. долл.</w:t>
      </w:r>
    </w:p>
    <w:p w:rsidR="003678AF" w:rsidRDefault="003678AF" w:rsidP="00962460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Наиболее высокий уровень Госдолга принадлежит США – более 21 500 млрд. долл. Следующая страна по объему Госдолга после США – Великобритания (более 9 800 млрд. долл.).</w:t>
      </w:r>
    </w:p>
    <w:p w:rsidR="003678AF" w:rsidRDefault="003678AF" w:rsidP="00962460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Проанализировав валютные резервы разных стран за 2021 год, выявлено, что Китай является абсолютным лидером по этому показателю.</w:t>
      </w:r>
      <w:r w:rsidR="001E4297">
        <w:rPr>
          <w:rFonts w:ascii="Times New Roman" w:hAnsi="Times New Roman" w:cs="Times New Roman"/>
          <w:bCs/>
          <w:sz w:val="28"/>
          <w:szCs w:val="28"/>
        </w:rPr>
        <w:t xml:space="preserve"> Валютные резервы данной страны превышают 3 000 млрд. долл. У остальных стран значение валютных резервов не превышает 610 млрд. долл. </w:t>
      </w:r>
    </w:p>
    <w:p w:rsidR="001E4297" w:rsidRDefault="001E4297" w:rsidP="00962460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Лидером по объему чистого экспорта за 2021 год выступает США (79,2 млрд. долл.). У остальных стран данный показатель значительно уступает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США и варьируется от -20 до 20 млрд. долл. Исключение составляет Китай. Объем чистого экспорта данной страны составляет -116 млрд. долл.</w:t>
      </w:r>
    </w:p>
    <w:p w:rsidR="001E4297" w:rsidRDefault="00590251" w:rsidP="00962460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величине инфляции РФ занимает первое место среди представленных стран на 2021 год. Ее значение составляет 8,4%. Среднее значение инфляции в остальных странах составляет от 4,5 до 5%.</w:t>
      </w:r>
    </w:p>
    <w:p w:rsidR="00590251" w:rsidRPr="00AD55D2" w:rsidRDefault="00590251" w:rsidP="00962460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величине процентной ставки РФ занимает также 1 место (8,5%). У остальных стран данный показатель близок к 0%, исключение составляют Китай и Индия. Их процентные ставки равняются 3,8 и 4% соответственно.</w:t>
      </w:r>
    </w:p>
    <w:p w:rsidR="007132E8" w:rsidRPr="00DD43B1" w:rsidRDefault="00663ECE" w:rsidP="007132E8">
      <w:pPr>
        <w:pStyle w:val="a9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Таким образом, в</w:t>
      </w:r>
      <w:r w:rsidR="007132E8" w:rsidRPr="00DD43B1">
        <w:rPr>
          <w:sz w:val="28"/>
          <w:szCs w:val="28"/>
          <w:shd w:val="clear" w:color="auto" w:fill="FFFFFF"/>
        </w:rPr>
        <w:t xml:space="preserve">веденные против России санкции не являются катастрофичными для экономики в силу крупных резервов, </w:t>
      </w:r>
      <w:r w:rsidR="007132E8">
        <w:rPr>
          <w:sz w:val="28"/>
          <w:szCs w:val="28"/>
          <w:shd w:val="clear" w:color="auto" w:fill="FFFFFF"/>
        </w:rPr>
        <w:t>име</w:t>
      </w:r>
      <w:r w:rsidR="007132E8" w:rsidRPr="00DD43B1">
        <w:rPr>
          <w:sz w:val="28"/>
          <w:szCs w:val="28"/>
          <w:shd w:val="clear" w:color="auto" w:fill="FFFFFF"/>
        </w:rPr>
        <w:t>ющихся в распоряжении регулятора</w:t>
      </w:r>
      <w:r w:rsidR="007132E8" w:rsidRPr="00DD43B1">
        <w:rPr>
          <w:sz w:val="28"/>
          <w:szCs w:val="28"/>
        </w:rPr>
        <w:t>.</w:t>
      </w:r>
    </w:p>
    <w:p w:rsidR="007132E8" w:rsidRPr="00DD43B1" w:rsidRDefault="007132E8" w:rsidP="007132E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Краткосрочные эффекты ограничений</w:t>
      </w:r>
      <w:r w:rsidRPr="00DD4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просчитаны, правительство научилось справляться с подобными кризисами, но в среднесрочной перспективе </w:t>
      </w:r>
      <w:r w:rsidR="009024A4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требуется расширение перечня инструментов для управления рисками в целях стабилизации э</w:t>
      </w:r>
      <w:r w:rsidRPr="00DD43B1">
        <w:rPr>
          <w:rFonts w:ascii="Times New Roman" w:hAnsi="Times New Roman" w:cs="Times New Roman"/>
          <w:sz w:val="28"/>
          <w:szCs w:val="28"/>
          <w:shd w:val="clear" w:color="auto" w:fill="FFFFFF"/>
        </w:rPr>
        <w:t>кономики.</w:t>
      </w:r>
    </w:p>
    <w:p w:rsidR="00F01956" w:rsidRPr="00DD43B1" w:rsidRDefault="00F01956" w:rsidP="00EF017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B63F1" w:rsidRPr="00872D76" w:rsidRDefault="00BB63F1" w:rsidP="008E2299">
      <w:pPr>
        <w:pStyle w:val="a7"/>
        <w:spacing w:after="0" w:line="288" w:lineRule="auto"/>
        <w:ind w:left="0" w:firstLine="709"/>
        <w:contextualSpacing w:val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2D6F" w:rsidRPr="00872D76" w:rsidRDefault="00112D6F" w:rsidP="008E2299">
      <w:pPr>
        <w:pStyle w:val="a7"/>
        <w:spacing w:after="0" w:line="288" w:lineRule="auto"/>
        <w:ind w:left="0" w:firstLine="709"/>
        <w:contextualSpacing w:val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2D6F" w:rsidRPr="00872D76" w:rsidRDefault="00112D6F" w:rsidP="00112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76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3C63CD" w:rsidRPr="003C63CD" w:rsidRDefault="003C63CD" w:rsidP="0060647C">
      <w:pPr>
        <w:pStyle w:val="a7"/>
        <w:numPr>
          <w:ilvl w:val="0"/>
          <w:numId w:val="6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3CD">
        <w:rPr>
          <w:rFonts w:ascii="Times New Roman" w:hAnsi="Times New Roman" w:cs="Times New Roman"/>
          <w:sz w:val="28"/>
          <w:szCs w:val="28"/>
        </w:rPr>
        <w:t xml:space="preserve">График индекса Московской биржи </w:t>
      </w:r>
      <w:r w:rsidRPr="003C63CD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ресурс]. Режим доступа: </w:t>
      </w:r>
      <w:r w:rsidRPr="003C63CD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C63CD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Pr="003C63CD">
        <w:rPr>
          <w:rFonts w:ascii="Times New Roman" w:hAnsi="Times New Roman" w:cs="Times New Roman"/>
          <w:sz w:val="28"/>
          <w:szCs w:val="28"/>
          <w:lang w:val="en-US"/>
        </w:rPr>
        <w:t>Investing</w:t>
      </w:r>
      <w:r w:rsidRPr="003C63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63CD">
        <w:rPr>
          <w:rFonts w:ascii="Times New Roman" w:hAnsi="Times New Roman" w:cs="Times New Roman"/>
          <w:sz w:val="28"/>
          <w:szCs w:val="28"/>
          <w:lang w:val="en-US"/>
        </w:rPr>
        <w:t>comURL</w:t>
      </w:r>
      <w:proofErr w:type="spellEnd"/>
      <w:r w:rsidRPr="003C63CD">
        <w:rPr>
          <w:rFonts w:ascii="Times New Roman" w:hAnsi="Times New Roman" w:cs="Times New Roman"/>
          <w:sz w:val="28"/>
          <w:szCs w:val="28"/>
        </w:rPr>
        <w:t>: https://ru.investing.com/equities/moskovskaya-birzha-oao (дата обращения: 14.04.2022 г.)</w:t>
      </w:r>
      <w:r w:rsidRPr="003C63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63CD" w:rsidRPr="003C63CD" w:rsidRDefault="003C63CD" w:rsidP="0060647C">
      <w:pPr>
        <w:pStyle w:val="a7"/>
        <w:numPr>
          <w:ilvl w:val="0"/>
          <w:numId w:val="6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3CD">
        <w:rPr>
          <w:rFonts w:ascii="Times New Roman" w:hAnsi="Times New Roman" w:cs="Times New Roman"/>
          <w:sz w:val="28"/>
          <w:szCs w:val="28"/>
        </w:rPr>
        <w:t>График акции ВТБ RTS ПАО (VTBR)</w:t>
      </w:r>
      <w:r w:rsidRPr="003C63CD"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ресурс]. Режим доступа: </w:t>
      </w:r>
      <w:r w:rsidRPr="003C63CD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C63CD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Pr="003C63CD">
        <w:rPr>
          <w:rFonts w:ascii="Times New Roman" w:hAnsi="Times New Roman" w:cs="Times New Roman"/>
          <w:sz w:val="28"/>
          <w:szCs w:val="28"/>
          <w:lang w:val="en-US"/>
        </w:rPr>
        <w:t>Investing</w:t>
      </w:r>
      <w:r w:rsidRPr="003C63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63CD">
        <w:rPr>
          <w:rFonts w:ascii="Times New Roman" w:hAnsi="Times New Roman" w:cs="Times New Roman"/>
          <w:sz w:val="28"/>
          <w:szCs w:val="28"/>
          <w:lang w:val="en-US"/>
        </w:rPr>
        <w:t>comURL</w:t>
      </w:r>
      <w:proofErr w:type="spellEnd"/>
      <w:r w:rsidRPr="003C63CD">
        <w:rPr>
          <w:rFonts w:ascii="Times New Roman" w:hAnsi="Times New Roman" w:cs="Times New Roman"/>
          <w:sz w:val="28"/>
          <w:szCs w:val="28"/>
        </w:rPr>
        <w:t>: https://ru.investing.com/equities/vtb_rts (дата обращения: 14.04.2022 г.);</w:t>
      </w:r>
    </w:p>
    <w:p w:rsidR="004078AF" w:rsidRDefault="003C63CD" w:rsidP="0060647C">
      <w:pPr>
        <w:pStyle w:val="a7"/>
        <w:numPr>
          <w:ilvl w:val="0"/>
          <w:numId w:val="6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3CD">
        <w:rPr>
          <w:rFonts w:ascii="Times New Roman" w:hAnsi="Times New Roman" w:cs="Times New Roman"/>
          <w:sz w:val="28"/>
          <w:szCs w:val="28"/>
        </w:rPr>
        <w:t>График цены на природный газ</w:t>
      </w:r>
      <w:r w:rsidRPr="003C63CD"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ресурс]. Режим доступа: </w:t>
      </w:r>
      <w:r w:rsidRPr="003C63CD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C63CD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proofErr w:type="spellStart"/>
      <w:r w:rsidRPr="003C63CD">
        <w:rPr>
          <w:rFonts w:ascii="Times New Roman" w:hAnsi="Times New Roman" w:cs="Times New Roman"/>
          <w:sz w:val="28"/>
          <w:szCs w:val="28"/>
          <w:lang w:val="en-US"/>
        </w:rPr>
        <w:t>Tradingview</w:t>
      </w:r>
      <w:proofErr w:type="spellEnd"/>
      <w:r w:rsidRPr="003C63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63CD">
        <w:rPr>
          <w:rFonts w:ascii="Times New Roman" w:hAnsi="Times New Roman" w:cs="Times New Roman"/>
          <w:sz w:val="28"/>
          <w:szCs w:val="28"/>
          <w:lang w:val="en-US"/>
        </w:rPr>
        <w:t>comURL</w:t>
      </w:r>
      <w:proofErr w:type="spellEnd"/>
      <w:r w:rsidRPr="003C63CD">
        <w:rPr>
          <w:rFonts w:ascii="Times New Roman" w:hAnsi="Times New Roman" w:cs="Times New Roman"/>
          <w:sz w:val="28"/>
          <w:szCs w:val="28"/>
        </w:rPr>
        <w:t>: https://ru.tradingview.com/chart/?symbol=NGAS (дата обращения: 14.04.2022 г.).</w:t>
      </w:r>
    </w:p>
    <w:p w:rsidR="00AD55D2" w:rsidRPr="003C63CD" w:rsidRDefault="00AD55D2" w:rsidP="0060647C">
      <w:pPr>
        <w:pStyle w:val="a7"/>
        <w:numPr>
          <w:ilvl w:val="0"/>
          <w:numId w:val="6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ВВП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странам</w:t>
      </w:r>
      <w:r w:rsidR="00553C9F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="00553C9F">
        <w:rPr>
          <w:rFonts w:ascii="Times New Roman" w:eastAsia="Calibri" w:hAnsi="Times New Roman" w:cs="Times New Roman"/>
          <w:sz w:val="28"/>
          <w:szCs w:val="28"/>
        </w:rPr>
        <w:t xml:space="preserve"> 2021 год </w:t>
      </w:r>
      <w:r w:rsidRPr="003C63CD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ресурс]. Режим доступа: </w:t>
      </w:r>
      <w:r w:rsidRPr="003C63CD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C63CD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TradingEconomics</w:t>
      </w:r>
      <w:proofErr w:type="spellEnd"/>
      <w:r w:rsidRPr="003C63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63CD">
        <w:rPr>
          <w:rFonts w:ascii="Times New Roman" w:hAnsi="Times New Roman" w:cs="Times New Roman"/>
          <w:sz w:val="28"/>
          <w:szCs w:val="28"/>
          <w:lang w:val="en-US"/>
        </w:rPr>
        <w:t>comURL</w:t>
      </w:r>
      <w:proofErr w:type="spellEnd"/>
      <w:r w:rsidRPr="003C63CD">
        <w:rPr>
          <w:rFonts w:ascii="Times New Roman" w:hAnsi="Times New Roman" w:cs="Times New Roman"/>
          <w:sz w:val="28"/>
          <w:szCs w:val="28"/>
        </w:rPr>
        <w:t xml:space="preserve">: </w:t>
      </w:r>
      <w:r w:rsidRPr="00AD55D2">
        <w:rPr>
          <w:rFonts w:ascii="Times New Roman" w:hAnsi="Times New Roman" w:cs="Times New Roman"/>
          <w:sz w:val="28"/>
          <w:szCs w:val="28"/>
        </w:rPr>
        <w:t xml:space="preserve">https://ru.tradingeconomics.com/country-list/gdp </w:t>
      </w:r>
      <w:r w:rsidRPr="003C63CD">
        <w:rPr>
          <w:rFonts w:ascii="Times New Roman" w:hAnsi="Times New Roman" w:cs="Times New Roman"/>
          <w:sz w:val="28"/>
          <w:szCs w:val="28"/>
        </w:rPr>
        <w:t>(дата обращения: 14.04.2022 г.).</w:t>
      </w:r>
    </w:p>
    <w:p w:rsidR="0060647C" w:rsidRPr="0060647C" w:rsidRDefault="0060647C" w:rsidP="0060647C">
      <w:pPr>
        <w:pStyle w:val="a7"/>
        <w:numPr>
          <w:ilvl w:val="0"/>
          <w:numId w:val="6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Валютные резервы по странам на 2021 год </w:t>
      </w:r>
      <w:r w:rsidRPr="003C63CD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ресурс]. Режим доступа: </w:t>
      </w:r>
      <w:r w:rsidRPr="003C63CD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C63CD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TradingEconomics</w:t>
      </w:r>
      <w:proofErr w:type="spellEnd"/>
      <w:r w:rsidRPr="003C63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63CD">
        <w:rPr>
          <w:rFonts w:ascii="Times New Roman" w:hAnsi="Times New Roman" w:cs="Times New Roman"/>
          <w:sz w:val="28"/>
          <w:szCs w:val="28"/>
          <w:lang w:val="en-US"/>
        </w:rPr>
        <w:t>comURL</w:t>
      </w:r>
      <w:proofErr w:type="spellEnd"/>
      <w:r w:rsidRPr="003C63CD">
        <w:rPr>
          <w:rFonts w:ascii="Times New Roman" w:hAnsi="Times New Roman" w:cs="Times New Roman"/>
          <w:sz w:val="28"/>
          <w:szCs w:val="28"/>
        </w:rPr>
        <w:t xml:space="preserve">: </w:t>
      </w:r>
      <w:r w:rsidRPr="0060647C">
        <w:rPr>
          <w:rFonts w:ascii="Times New Roman" w:hAnsi="Times New Roman" w:cs="Times New Roman"/>
          <w:sz w:val="28"/>
          <w:szCs w:val="28"/>
        </w:rPr>
        <w:lastRenderedPageBreak/>
        <w:t>https://ru.tradingeconomics.com/country-list/foreign-exchange-</w:t>
      </w:r>
      <w:proofErr w:type="gramStart"/>
      <w:r w:rsidRPr="0060647C">
        <w:rPr>
          <w:rFonts w:ascii="Times New Roman" w:hAnsi="Times New Roman" w:cs="Times New Roman"/>
          <w:sz w:val="28"/>
          <w:szCs w:val="28"/>
        </w:rPr>
        <w:t>reserves</w:t>
      </w:r>
      <w:r w:rsidRPr="003C63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C63CD">
        <w:rPr>
          <w:rFonts w:ascii="Times New Roman" w:hAnsi="Times New Roman" w:cs="Times New Roman"/>
          <w:sz w:val="28"/>
          <w:szCs w:val="28"/>
        </w:rPr>
        <w:t>дата обращения: 14.04.2022 г.).</w:t>
      </w:r>
    </w:p>
    <w:p w:rsidR="00AD55D2" w:rsidRPr="003C63CD" w:rsidRDefault="00AD55D2" w:rsidP="0060647C">
      <w:pPr>
        <w:pStyle w:val="a7"/>
        <w:numPr>
          <w:ilvl w:val="0"/>
          <w:numId w:val="6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Чистый экспорт по странам </w:t>
      </w:r>
      <w:r w:rsidR="00553C9F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3C63CD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ресурс]. Режим доступа: </w:t>
      </w:r>
      <w:r w:rsidRPr="003C63CD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C63CD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TrendEconomy</w:t>
      </w:r>
      <w:proofErr w:type="spellEnd"/>
      <w:r w:rsidRPr="003C63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63CD">
        <w:rPr>
          <w:rFonts w:ascii="Times New Roman" w:hAnsi="Times New Roman" w:cs="Times New Roman"/>
          <w:sz w:val="28"/>
          <w:szCs w:val="28"/>
          <w:lang w:val="en-US"/>
        </w:rPr>
        <w:t>comURL</w:t>
      </w:r>
      <w:proofErr w:type="spellEnd"/>
      <w:r w:rsidRPr="003C63CD">
        <w:rPr>
          <w:rFonts w:ascii="Times New Roman" w:hAnsi="Times New Roman" w:cs="Times New Roman"/>
          <w:sz w:val="28"/>
          <w:szCs w:val="28"/>
        </w:rPr>
        <w:t xml:space="preserve">: </w:t>
      </w:r>
      <w:r w:rsidRPr="00AD55D2">
        <w:rPr>
          <w:rFonts w:ascii="Times New Roman" w:hAnsi="Times New Roman" w:cs="Times New Roman"/>
          <w:sz w:val="28"/>
          <w:szCs w:val="28"/>
        </w:rPr>
        <w:t xml:space="preserve">https://trendeconomy.ru/data/h2/UnitedStatesOfAmerica/TOTAL </w:t>
      </w:r>
      <w:r w:rsidRPr="003C63CD">
        <w:rPr>
          <w:rFonts w:ascii="Times New Roman" w:hAnsi="Times New Roman" w:cs="Times New Roman"/>
          <w:sz w:val="28"/>
          <w:szCs w:val="28"/>
        </w:rPr>
        <w:t>(дата обращения: 14.04.2022 г.).</w:t>
      </w:r>
    </w:p>
    <w:p w:rsidR="00AD55D2" w:rsidRPr="00AD55D2" w:rsidRDefault="00F0275C" w:rsidP="0060647C">
      <w:pPr>
        <w:pStyle w:val="a7"/>
        <w:numPr>
          <w:ilvl w:val="0"/>
          <w:numId w:val="6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Текущие ставки по странам</w:t>
      </w:r>
      <w:r w:rsidR="00553C9F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AD55D2" w:rsidRPr="003C63CD"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ресурс]. Режим доступа: </w:t>
      </w:r>
      <w:r w:rsidR="00AD55D2" w:rsidRPr="003C63CD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AD55D2" w:rsidRPr="003C63CD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AD55D2">
        <w:rPr>
          <w:rFonts w:ascii="Times New Roman" w:hAnsi="Times New Roman" w:cs="Times New Roman"/>
          <w:sz w:val="28"/>
          <w:szCs w:val="28"/>
          <w:lang w:val="en-US"/>
        </w:rPr>
        <w:t>Investing</w:t>
      </w:r>
      <w:r w:rsidR="00AD55D2" w:rsidRPr="003C63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55D2" w:rsidRPr="003C63CD">
        <w:rPr>
          <w:rFonts w:ascii="Times New Roman" w:hAnsi="Times New Roman" w:cs="Times New Roman"/>
          <w:sz w:val="28"/>
          <w:szCs w:val="28"/>
          <w:lang w:val="en-US"/>
        </w:rPr>
        <w:t>comURL</w:t>
      </w:r>
      <w:proofErr w:type="spellEnd"/>
      <w:r w:rsidR="00AD55D2" w:rsidRPr="003C63CD">
        <w:rPr>
          <w:rFonts w:ascii="Times New Roman" w:hAnsi="Times New Roman" w:cs="Times New Roman"/>
          <w:sz w:val="28"/>
          <w:szCs w:val="28"/>
        </w:rPr>
        <w:t xml:space="preserve">: </w:t>
      </w:r>
      <w:r w:rsidR="00AD55D2" w:rsidRPr="00AD55D2">
        <w:rPr>
          <w:rFonts w:ascii="Times New Roman" w:hAnsi="Times New Roman" w:cs="Times New Roman"/>
          <w:sz w:val="28"/>
          <w:szCs w:val="28"/>
        </w:rPr>
        <w:t>https://ru.investing.com/central-banks/</w:t>
      </w:r>
      <w:r w:rsidR="00AD55D2" w:rsidRPr="003C63CD">
        <w:rPr>
          <w:rFonts w:ascii="Times New Roman" w:hAnsi="Times New Roman" w:cs="Times New Roman"/>
          <w:sz w:val="28"/>
          <w:szCs w:val="28"/>
        </w:rPr>
        <w:t xml:space="preserve"> (дата обращения: 14.04.2022 г.).</w:t>
      </w:r>
    </w:p>
    <w:sectPr w:rsidR="00AD55D2" w:rsidRPr="00AD55D2" w:rsidSect="0056484F">
      <w:footerReference w:type="default" r:id="rId16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12" w:rsidRDefault="00C33912" w:rsidP="009024A4">
      <w:pPr>
        <w:spacing w:after="0" w:line="240" w:lineRule="auto"/>
      </w:pPr>
      <w:r>
        <w:separator/>
      </w:r>
    </w:p>
  </w:endnote>
  <w:endnote w:type="continuationSeparator" w:id="0">
    <w:p w:rsidR="00C33912" w:rsidRDefault="00C33912" w:rsidP="0090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421141"/>
      <w:docPartObj>
        <w:docPartGallery w:val="Page Numbers (Bottom of Page)"/>
        <w:docPartUnique/>
      </w:docPartObj>
    </w:sdtPr>
    <w:sdtEndPr/>
    <w:sdtContent>
      <w:p w:rsidR="009024A4" w:rsidRDefault="0099411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7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24A4" w:rsidRDefault="009024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12" w:rsidRDefault="00C33912" w:rsidP="009024A4">
      <w:pPr>
        <w:spacing w:after="0" w:line="240" w:lineRule="auto"/>
      </w:pPr>
      <w:r>
        <w:separator/>
      </w:r>
    </w:p>
  </w:footnote>
  <w:footnote w:type="continuationSeparator" w:id="0">
    <w:p w:rsidR="00C33912" w:rsidRDefault="00C33912" w:rsidP="00902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801"/>
    <w:multiLevelType w:val="hybridMultilevel"/>
    <w:tmpl w:val="2700A5C6"/>
    <w:lvl w:ilvl="0" w:tplc="1DE40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ED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AA3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29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C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E3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785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C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8E8D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84840"/>
    <w:multiLevelType w:val="multilevel"/>
    <w:tmpl w:val="23C6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D720405"/>
    <w:multiLevelType w:val="hybridMultilevel"/>
    <w:tmpl w:val="A5B482AE"/>
    <w:lvl w:ilvl="0" w:tplc="4BC065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CE19B6"/>
    <w:multiLevelType w:val="multilevel"/>
    <w:tmpl w:val="FC8C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827B7"/>
    <w:multiLevelType w:val="hybridMultilevel"/>
    <w:tmpl w:val="BF14FB6C"/>
    <w:lvl w:ilvl="0" w:tplc="4BC065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40585F"/>
    <w:multiLevelType w:val="hybridMultilevel"/>
    <w:tmpl w:val="0E9E2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8B7DD6"/>
    <w:multiLevelType w:val="hybridMultilevel"/>
    <w:tmpl w:val="695A0744"/>
    <w:lvl w:ilvl="0" w:tplc="4BC065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6D5579"/>
    <w:multiLevelType w:val="multilevel"/>
    <w:tmpl w:val="71C2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8244C8"/>
    <w:multiLevelType w:val="hybridMultilevel"/>
    <w:tmpl w:val="ADAE5860"/>
    <w:lvl w:ilvl="0" w:tplc="4BC06538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65540FED"/>
    <w:multiLevelType w:val="hybridMultilevel"/>
    <w:tmpl w:val="5650A92A"/>
    <w:lvl w:ilvl="0" w:tplc="4BC065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A2413F1"/>
    <w:multiLevelType w:val="multilevel"/>
    <w:tmpl w:val="6538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C44"/>
    <w:rsid w:val="0000578E"/>
    <w:rsid w:val="0000695A"/>
    <w:rsid w:val="00046EB2"/>
    <w:rsid w:val="000752AC"/>
    <w:rsid w:val="00096B73"/>
    <w:rsid w:val="000C7BBB"/>
    <w:rsid w:val="000E4E83"/>
    <w:rsid w:val="00112D6F"/>
    <w:rsid w:val="00122CC1"/>
    <w:rsid w:val="00135F8C"/>
    <w:rsid w:val="00152194"/>
    <w:rsid w:val="00154C44"/>
    <w:rsid w:val="00180C9A"/>
    <w:rsid w:val="00191D79"/>
    <w:rsid w:val="001A4141"/>
    <w:rsid w:val="001C50B9"/>
    <w:rsid w:val="001E4297"/>
    <w:rsid w:val="001F4384"/>
    <w:rsid w:val="0021070A"/>
    <w:rsid w:val="002251DF"/>
    <w:rsid w:val="002273B4"/>
    <w:rsid w:val="002313A0"/>
    <w:rsid w:val="00254426"/>
    <w:rsid w:val="00254E87"/>
    <w:rsid w:val="00255FAC"/>
    <w:rsid w:val="00294F48"/>
    <w:rsid w:val="002A7076"/>
    <w:rsid w:val="002B4071"/>
    <w:rsid w:val="002B5462"/>
    <w:rsid w:val="002B79CB"/>
    <w:rsid w:val="002C1AE3"/>
    <w:rsid w:val="002C4CAE"/>
    <w:rsid w:val="002F59D4"/>
    <w:rsid w:val="003001D0"/>
    <w:rsid w:val="00311CA8"/>
    <w:rsid w:val="00323CA5"/>
    <w:rsid w:val="00354F2D"/>
    <w:rsid w:val="003678AF"/>
    <w:rsid w:val="003C63CD"/>
    <w:rsid w:val="003C6EEE"/>
    <w:rsid w:val="003E7AAE"/>
    <w:rsid w:val="0040142B"/>
    <w:rsid w:val="00403C44"/>
    <w:rsid w:val="004078AF"/>
    <w:rsid w:val="004461B0"/>
    <w:rsid w:val="00451D24"/>
    <w:rsid w:val="00462ECD"/>
    <w:rsid w:val="00472E4C"/>
    <w:rsid w:val="00473C5D"/>
    <w:rsid w:val="00486D5F"/>
    <w:rsid w:val="004C6E5A"/>
    <w:rsid w:val="004F18FE"/>
    <w:rsid w:val="004F361E"/>
    <w:rsid w:val="00537BDF"/>
    <w:rsid w:val="00542FAE"/>
    <w:rsid w:val="005501A9"/>
    <w:rsid w:val="00553C9F"/>
    <w:rsid w:val="0055730E"/>
    <w:rsid w:val="00557B44"/>
    <w:rsid w:val="0056484F"/>
    <w:rsid w:val="00566FFB"/>
    <w:rsid w:val="005727E9"/>
    <w:rsid w:val="00574C7A"/>
    <w:rsid w:val="00590251"/>
    <w:rsid w:val="005905ED"/>
    <w:rsid w:val="005A5CEE"/>
    <w:rsid w:val="005C3A0E"/>
    <w:rsid w:val="005C435E"/>
    <w:rsid w:val="005D6510"/>
    <w:rsid w:val="006053BB"/>
    <w:rsid w:val="0060647C"/>
    <w:rsid w:val="0066045B"/>
    <w:rsid w:val="00663ECE"/>
    <w:rsid w:val="006827C2"/>
    <w:rsid w:val="006A0F8A"/>
    <w:rsid w:val="006C0FFE"/>
    <w:rsid w:val="006C4EB1"/>
    <w:rsid w:val="006F4A69"/>
    <w:rsid w:val="007132E8"/>
    <w:rsid w:val="00713F22"/>
    <w:rsid w:val="00725808"/>
    <w:rsid w:val="00733A63"/>
    <w:rsid w:val="00742631"/>
    <w:rsid w:val="00763B57"/>
    <w:rsid w:val="007732D1"/>
    <w:rsid w:val="00781F97"/>
    <w:rsid w:val="007B4825"/>
    <w:rsid w:val="007D1923"/>
    <w:rsid w:val="007E3561"/>
    <w:rsid w:val="007F2531"/>
    <w:rsid w:val="00805A35"/>
    <w:rsid w:val="00814E1B"/>
    <w:rsid w:val="00815584"/>
    <w:rsid w:val="0083502A"/>
    <w:rsid w:val="00836BDC"/>
    <w:rsid w:val="00845BA8"/>
    <w:rsid w:val="008478BE"/>
    <w:rsid w:val="008507BC"/>
    <w:rsid w:val="00853EDF"/>
    <w:rsid w:val="00862ACE"/>
    <w:rsid w:val="00863110"/>
    <w:rsid w:val="0087023A"/>
    <w:rsid w:val="00872D76"/>
    <w:rsid w:val="00885519"/>
    <w:rsid w:val="008E2299"/>
    <w:rsid w:val="00901C4F"/>
    <w:rsid w:val="009024A4"/>
    <w:rsid w:val="00937D00"/>
    <w:rsid w:val="009540C3"/>
    <w:rsid w:val="00962460"/>
    <w:rsid w:val="0096387D"/>
    <w:rsid w:val="00973B58"/>
    <w:rsid w:val="00974EA7"/>
    <w:rsid w:val="00983CA7"/>
    <w:rsid w:val="0099411B"/>
    <w:rsid w:val="009B1B5C"/>
    <w:rsid w:val="009D5BC9"/>
    <w:rsid w:val="00A17EED"/>
    <w:rsid w:val="00A2613B"/>
    <w:rsid w:val="00A9203C"/>
    <w:rsid w:val="00A968DC"/>
    <w:rsid w:val="00AD52ED"/>
    <w:rsid w:val="00AD55D2"/>
    <w:rsid w:val="00B51524"/>
    <w:rsid w:val="00B854D7"/>
    <w:rsid w:val="00B92A42"/>
    <w:rsid w:val="00B940D9"/>
    <w:rsid w:val="00B951D7"/>
    <w:rsid w:val="00B97ED9"/>
    <w:rsid w:val="00BA68F2"/>
    <w:rsid w:val="00BB0CCC"/>
    <w:rsid w:val="00BB30FA"/>
    <w:rsid w:val="00BB63F1"/>
    <w:rsid w:val="00BE32F6"/>
    <w:rsid w:val="00C25A24"/>
    <w:rsid w:val="00C25FFD"/>
    <w:rsid w:val="00C33193"/>
    <w:rsid w:val="00C33912"/>
    <w:rsid w:val="00C546B8"/>
    <w:rsid w:val="00C66A4D"/>
    <w:rsid w:val="00C9348C"/>
    <w:rsid w:val="00C95FAA"/>
    <w:rsid w:val="00CA4FC1"/>
    <w:rsid w:val="00CB40FD"/>
    <w:rsid w:val="00CE0FA7"/>
    <w:rsid w:val="00CF1142"/>
    <w:rsid w:val="00D0785A"/>
    <w:rsid w:val="00D271CB"/>
    <w:rsid w:val="00D32288"/>
    <w:rsid w:val="00D34609"/>
    <w:rsid w:val="00D56259"/>
    <w:rsid w:val="00D64677"/>
    <w:rsid w:val="00D676F9"/>
    <w:rsid w:val="00D704F0"/>
    <w:rsid w:val="00D7302F"/>
    <w:rsid w:val="00DA1D94"/>
    <w:rsid w:val="00DB4D4E"/>
    <w:rsid w:val="00DE6AB6"/>
    <w:rsid w:val="00DF16D3"/>
    <w:rsid w:val="00E149C6"/>
    <w:rsid w:val="00E54E11"/>
    <w:rsid w:val="00E766A5"/>
    <w:rsid w:val="00E86C79"/>
    <w:rsid w:val="00E937F6"/>
    <w:rsid w:val="00E93CAE"/>
    <w:rsid w:val="00E978A9"/>
    <w:rsid w:val="00EA71C9"/>
    <w:rsid w:val="00EC6679"/>
    <w:rsid w:val="00ED1301"/>
    <w:rsid w:val="00ED223C"/>
    <w:rsid w:val="00EE4082"/>
    <w:rsid w:val="00EF0174"/>
    <w:rsid w:val="00EF0FB7"/>
    <w:rsid w:val="00EF3118"/>
    <w:rsid w:val="00F01956"/>
    <w:rsid w:val="00F01DE0"/>
    <w:rsid w:val="00F0275C"/>
    <w:rsid w:val="00F02C54"/>
    <w:rsid w:val="00F05155"/>
    <w:rsid w:val="00F10388"/>
    <w:rsid w:val="00F2485C"/>
    <w:rsid w:val="00F35B37"/>
    <w:rsid w:val="00F37048"/>
    <w:rsid w:val="00F440AE"/>
    <w:rsid w:val="00F55F55"/>
    <w:rsid w:val="00FA7ABD"/>
    <w:rsid w:val="00FB0E19"/>
    <w:rsid w:val="00FD200B"/>
    <w:rsid w:val="00FE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6"/>
  </w:style>
  <w:style w:type="paragraph" w:styleId="1">
    <w:name w:val="heading 1"/>
    <w:basedOn w:val="a"/>
    <w:next w:val="a"/>
    <w:link w:val="10"/>
    <w:uiPriority w:val="9"/>
    <w:qFormat/>
    <w:rsid w:val="004461B0"/>
    <w:pPr>
      <w:keepNext/>
      <w:keepLines/>
      <w:spacing w:before="240" w:after="0" w:line="28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E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E40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4141"/>
    <w:pPr>
      <w:ind w:left="720"/>
      <w:contextualSpacing/>
    </w:pPr>
  </w:style>
  <w:style w:type="character" w:styleId="a8">
    <w:name w:val="Strong"/>
    <w:basedOn w:val="a0"/>
    <w:uiPriority w:val="22"/>
    <w:qFormat/>
    <w:rsid w:val="0000695A"/>
    <w:rPr>
      <w:b/>
      <w:bCs/>
    </w:rPr>
  </w:style>
  <w:style w:type="paragraph" w:styleId="a9">
    <w:name w:val="Normal (Web)"/>
    <w:basedOn w:val="a"/>
    <w:uiPriority w:val="99"/>
    <w:unhideWhenUsed/>
    <w:rsid w:val="000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ED13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61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FollowedHyperlink"/>
    <w:basedOn w:val="a0"/>
    <w:uiPriority w:val="99"/>
    <w:semiHidden/>
    <w:unhideWhenUsed/>
    <w:rsid w:val="00D32288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2D7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semiHidden/>
    <w:unhideWhenUsed/>
    <w:rsid w:val="00902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024A4"/>
  </w:style>
  <w:style w:type="paragraph" w:styleId="ae">
    <w:name w:val="footer"/>
    <w:basedOn w:val="a"/>
    <w:link w:val="af"/>
    <w:uiPriority w:val="99"/>
    <w:unhideWhenUsed/>
    <w:rsid w:val="00902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2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1B0"/>
    <w:pPr>
      <w:keepNext/>
      <w:keepLines/>
      <w:spacing w:before="240" w:after="0" w:line="28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E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E40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4141"/>
    <w:pPr>
      <w:ind w:left="720"/>
      <w:contextualSpacing/>
    </w:pPr>
  </w:style>
  <w:style w:type="character" w:styleId="a8">
    <w:name w:val="Strong"/>
    <w:basedOn w:val="a0"/>
    <w:uiPriority w:val="22"/>
    <w:qFormat/>
    <w:rsid w:val="0000695A"/>
    <w:rPr>
      <w:b/>
      <w:bCs/>
    </w:rPr>
  </w:style>
  <w:style w:type="paragraph" w:styleId="a9">
    <w:name w:val="Normal (Web)"/>
    <w:basedOn w:val="a"/>
    <w:uiPriority w:val="99"/>
    <w:semiHidden/>
    <w:unhideWhenUsed/>
    <w:rsid w:val="000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ED13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61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FollowedHyperlink"/>
    <w:basedOn w:val="a0"/>
    <w:uiPriority w:val="99"/>
    <w:semiHidden/>
    <w:unhideWhenUsed/>
    <w:rsid w:val="00D32288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2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04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klinova.natasha@mail.ru" TargetMode="Externa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1.7969451931716101E-2"/>
                  <c:y val="-9.824823980465634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723270440251583E-2"/>
                  <c:y val="-9.824823980465634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ВВП</c:v>
                </c:pt>
                <c:pt idx="1">
                  <c:v>Госдолг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 formatCode="#,##0">
                  <c:v>1600</c:v>
                </c:pt>
                <c:pt idx="1">
                  <c:v>464.2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3B-DF41-AA85-143400AF78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Германия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ВВП</c:v>
                </c:pt>
                <c:pt idx="1">
                  <c:v>Госдолг</c:v>
                </c:pt>
              </c:strCache>
            </c:strRef>
          </c:cat>
          <c:val>
            <c:numRef>
              <c:f>Лист1!$C$2:$C$3</c:f>
              <c:numCache>
                <c:formatCode>#,##0.0</c:formatCode>
                <c:ptCount val="2"/>
                <c:pt idx="0" formatCode="#,##0">
                  <c:v>4200</c:v>
                </c:pt>
                <c:pt idx="1">
                  <c:v>6691.1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3B-DF41-AA85-143400AF78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Франция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ВВП</c:v>
                </c:pt>
                <c:pt idx="1">
                  <c:v>Госдолг</c:v>
                </c:pt>
              </c:strCache>
            </c:strRef>
          </c:cat>
          <c:val>
            <c:numRef>
              <c:f>Лист1!$D$2:$D$3</c:f>
              <c:numCache>
                <c:formatCode>#,##0.0</c:formatCode>
                <c:ptCount val="2"/>
                <c:pt idx="0" formatCode="#,##0">
                  <c:v>2900</c:v>
                </c:pt>
                <c:pt idx="1">
                  <c:v>7368.7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B3B-DF41-AA85-143400AF783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Великобритания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ВВП</c:v>
                </c:pt>
                <c:pt idx="1">
                  <c:v>Госдолг</c:v>
                </c:pt>
              </c:strCache>
            </c:strRef>
          </c:cat>
          <c:val>
            <c:numRef>
              <c:f>Лист1!$E$2:$E$3</c:f>
              <c:numCache>
                <c:formatCode>#,##0.0</c:formatCode>
                <c:ptCount val="2"/>
                <c:pt idx="0" formatCode="#,##0">
                  <c:v>3100</c:v>
                </c:pt>
                <c:pt idx="1">
                  <c:v>9837.5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B3B-DF41-AA85-143400AF783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Страны Балтии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ВВП</c:v>
                </c:pt>
                <c:pt idx="1">
                  <c:v>Госдолг</c:v>
                </c:pt>
              </c:strCache>
            </c:strRef>
          </c:cat>
          <c:val>
            <c:numRef>
              <c:f>Лист1!$F$2:$F$3</c:f>
              <c:numCache>
                <c:formatCode>#,##0.0</c:formatCode>
                <c:ptCount val="2"/>
                <c:pt idx="0" formatCode="#,##0">
                  <c:v>62.6</c:v>
                </c:pt>
                <c:pt idx="1">
                  <c:v>38.200000000000003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B3B-DF41-AA85-143400AF783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США 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ВВП</c:v>
                </c:pt>
                <c:pt idx="1">
                  <c:v>Госдолг</c:v>
                </c:pt>
              </c:strCache>
            </c:strRef>
          </c:cat>
          <c:val>
            <c:numRef>
              <c:f>Лист1!$G$2:$G$3</c:f>
              <c:numCache>
                <c:formatCode>#,##0.0</c:formatCode>
                <c:ptCount val="2"/>
                <c:pt idx="0" formatCode="#,##0">
                  <c:v>22900</c:v>
                </c:pt>
                <c:pt idx="1">
                  <c:v>21764.799999999996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B3B-DF41-AA85-143400AF783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Китай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4.7169811320754762E-2"/>
                  <c:y val="2.67952840300107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938903863432091E-2"/>
                  <c:y val="-1.07181136120042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ВВП</c:v>
                </c:pt>
                <c:pt idx="1">
                  <c:v>Госдолг</c:v>
                </c:pt>
              </c:strCache>
            </c:strRef>
          </c:cat>
          <c:val>
            <c:numRef>
              <c:f>Лист1!$H$2:$H$3</c:f>
              <c:numCache>
                <c:formatCode>#,##0.0</c:formatCode>
                <c:ptCount val="2"/>
                <c:pt idx="0" formatCode="#,##0">
                  <c:v>16900</c:v>
                </c:pt>
                <c:pt idx="1">
                  <c:v>2526.6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B3B-DF41-AA85-143400AF783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Индия</c:v>
                </c:pt>
              </c:strCache>
            </c:strRef>
          </c:tx>
          <c:spPr>
            <a:pattFill prst="shingle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ВВП</c:v>
                </c:pt>
                <c:pt idx="1">
                  <c:v>Госдолг</c:v>
                </c:pt>
              </c:strCache>
            </c:strRef>
          </c:cat>
          <c:val>
            <c:numRef>
              <c:f>Лист1!$I$2:$I$3</c:f>
              <c:numCache>
                <c:formatCode>#,##0.0</c:formatCode>
                <c:ptCount val="2"/>
                <c:pt idx="0" formatCode="#,##0">
                  <c:v>2900</c:v>
                </c:pt>
                <c:pt idx="1">
                  <c:v>569.9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B3B-DF41-AA85-143400AF7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776832"/>
        <c:axId val="135638400"/>
      </c:barChart>
      <c:catAx>
        <c:axId val="15877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638400"/>
        <c:crosses val="autoZero"/>
        <c:auto val="1"/>
        <c:lblAlgn val="ctr"/>
        <c:lblOffset val="100"/>
        <c:noMultiLvlLbl val="0"/>
      </c:catAx>
      <c:valAx>
        <c:axId val="13563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77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Валютные резервы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606.4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Германия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Валютные резервы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314.39999999999969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Франция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Валютные резервы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267.10000000000002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Великобритания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Валютные резервы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200.3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Страны Балтии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Валютные резервы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4.5999999999999996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США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Валютные резервы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40.4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Китай</c:v>
                </c:pt>
              </c:strCache>
            </c:strRef>
          </c:tx>
          <c:spPr>
            <a:pattFill prst="smChe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Валютные резервы</c:v>
                </c:pt>
              </c:strCache>
            </c:strRef>
          </c:cat>
          <c:val>
            <c:numRef>
              <c:f>Лист1!$H$2</c:f>
              <c:numCache>
                <c:formatCode>#,##0.00</c:formatCode>
                <c:ptCount val="1"/>
                <c:pt idx="0">
                  <c:v>3188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Индия</c:v>
                </c:pt>
              </c:strCache>
            </c:strRef>
          </c:tx>
          <c:spPr>
            <a:pattFill prst="horz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2.52525252525252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Валютные резервы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606.5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601664"/>
        <c:axId val="135640128"/>
      </c:barChart>
      <c:catAx>
        <c:axId val="47601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5640128"/>
        <c:crosses val="autoZero"/>
        <c:auto val="1"/>
        <c:lblAlgn val="ctr"/>
        <c:lblOffset val="100"/>
        <c:noMultiLvlLbl val="0"/>
      </c:catAx>
      <c:valAx>
        <c:axId val="13564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>
                <a:solidFill>
                  <a:sysClr val="windowText" lastClr="000000"/>
                </a:solidFill>
              </a:defRPr>
            </a:pPr>
            <a:endParaRPr lang="ru-RU"/>
          </a:p>
        </c:txPr>
        <c:crossAx val="476016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39413823272204E-2"/>
          <c:y val="6.3898887639045124E-2"/>
          <c:w val="0.67822834645669383"/>
          <c:h val="0.91188476440444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Чистый экспорт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-21.2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Германия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Чистый экспорт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-11.4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Франция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Чистый экспорт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Великобритания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Чистый экспорт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9.3000000000000007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Страны Балтии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Чистый экспорт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США</c:v>
                </c:pt>
              </c:strCache>
            </c:strRef>
          </c:tx>
          <c:spPr>
            <a:pattFill prst="shingle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Чистый экспорт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79.2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Китай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Чистый экспорт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-116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Индия</c:v>
                </c:pt>
              </c:strCache>
            </c:strRef>
          </c:tx>
          <c:spPr>
            <a:pattFill prst="smChe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Чистый экспорт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18.7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697408"/>
        <c:axId val="135641280"/>
      </c:barChart>
      <c:catAx>
        <c:axId val="13569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641280"/>
        <c:crosses val="autoZero"/>
        <c:auto val="1"/>
        <c:lblAlgn val="ctr"/>
        <c:lblOffset val="100"/>
        <c:noMultiLvlLbl val="0"/>
      </c:catAx>
      <c:valAx>
        <c:axId val="13564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697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Инфляция</c:v>
                </c:pt>
                <c:pt idx="1">
                  <c:v>% ставка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8.4000000000000047E-2</c:v>
                </c:pt>
                <c:pt idx="1">
                  <c:v>8.5000000000000006E-2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Германия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Инфляция</c:v>
                </c:pt>
                <c:pt idx="1">
                  <c:v>% ставка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5.1999999999999998E-2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Франция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Инфляция</c:v>
                </c:pt>
                <c:pt idx="1">
                  <c:v>% ставка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4.5000000000000012E-2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Великобритания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delete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Инфляция</c:v>
                </c:pt>
                <c:pt idx="1">
                  <c:v>% ставка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5.3999999999999999E-2</c:v>
                </c:pt>
                <c:pt idx="1">
                  <c:v>2.5000000000000027E-3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Страны Балтии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delete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Инфляция</c:v>
                </c:pt>
                <c:pt idx="1">
                  <c:v>% ставка</c:v>
                </c:pt>
              </c:strCache>
            </c:strRef>
          </c:cat>
          <c:val>
            <c:numRef>
              <c:f>Лист1!$F$2:$F$3</c:f>
              <c:numCache>
                <c:formatCode>0.00%</c:formatCode>
                <c:ptCount val="2"/>
                <c:pt idx="0">
                  <c:v>4.2000000000000023E-2</c:v>
                </c:pt>
                <c:pt idx="1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США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Инфляция</c:v>
                </c:pt>
                <c:pt idx="1">
                  <c:v>% ставка</c:v>
                </c:pt>
              </c:strCache>
            </c:strRef>
          </c:cat>
          <c:val>
            <c:numRef>
              <c:f>Лист1!$G$2:$G$3</c:f>
              <c:numCache>
                <c:formatCode>0.00%</c:formatCode>
                <c:ptCount val="2"/>
                <c:pt idx="0">
                  <c:v>6.8000000000000019E-2</c:v>
                </c:pt>
                <c:pt idx="1">
                  <c:v>2.5000000000000027E-3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Китай</c:v>
                </c:pt>
              </c:strCache>
            </c:strRef>
          </c:tx>
          <c:spPr>
            <a:pattFill prst="shingle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Инфляция</c:v>
                </c:pt>
                <c:pt idx="1">
                  <c:v>% ставка</c:v>
                </c:pt>
              </c:strCache>
            </c:strRef>
          </c:cat>
          <c:val>
            <c:numRef>
              <c:f>Лист1!$H$2:$H$3</c:f>
              <c:numCache>
                <c:formatCode>0.00%</c:formatCode>
                <c:ptCount val="2"/>
                <c:pt idx="0">
                  <c:v>9.0000000000000028E-3</c:v>
                </c:pt>
                <c:pt idx="1">
                  <c:v>3.7999999999999999E-2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Индия</c:v>
                </c:pt>
              </c:strCache>
            </c:strRef>
          </c:tx>
          <c:spPr>
            <a:pattFill prst="solid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2766877500968175E-3"/>
                  <c:y val="1.7863569729369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Инфляция</c:v>
                </c:pt>
                <c:pt idx="1">
                  <c:v>% ставка</c:v>
                </c:pt>
              </c:strCache>
            </c:strRef>
          </c:cat>
          <c:val>
            <c:numRef>
              <c:f>Лист1!$I$2:$I$3</c:f>
              <c:numCache>
                <c:formatCode>0.00%</c:formatCode>
                <c:ptCount val="2"/>
                <c:pt idx="0">
                  <c:v>6.9500000000000034E-2</c:v>
                </c:pt>
                <c:pt idx="1">
                  <c:v>4.0000000000000022E-2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098432"/>
        <c:axId val="63562304"/>
      </c:barChart>
      <c:catAx>
        <c:axId val="4609843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b="1"/>
            </a:pPr>
            <a:endParaRPr lang="ru-RU"/>
          </a:p>
        </c:txPr>
        <c:crossAx val="63562304"/>
        <c:crosses val="autoZero"/>
        <c:auto val="1"/>
        <c:lblAlgn val="ctr"/>
        <c:lblOffset val="100"/>
        <c:noMultiLvlLbl val="0"/>
      </c:catAx>
      <c:valAx>
        <c:axId val="6356230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b="0">
                <a:solidFill>
                  <a:sysClr val="windowText" lastClr="000000"/>
                </a:solidFill>
              </a:defRPr>
            </a:pPr>
            <a:endParaRPr lang="ru-RU"/>
          </a:p>
        </c:txPr>
        <c:crossAx val="460984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0.42623</cdr:x>
      <cdr:y>0</cdr:y>
    </cdr:from>
    <cdr:to>
      <cdr:x>0.42623</cdr:x>
      <cdr:y>0.85619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2377440" y="0"/>
          <a:ext cx="0" cy="195072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Chuklinova Natalya Romanovna</dc:creator>
  <cp:lastModifiedBy>RePack by Diakov</cp:lastModifiedBy>
  <cp:revision>7</cp:revision>
  <cp:lastPrinted>2021-12-14T12:26:00Z</cp:lastPrinted>
  <dcterms:created xsi:type="dcterms:W3CDTF">2022-04-20T07:54:00Z</dcterms:created>
  <dcterms:modified xsi:type="dcterms:W3CDTF">2022-05-12T15:15:00Z</dcterms:modified>
</cp:coreProperties>
</file>