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8B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766">
        <w:rPr>
          <w:rFonts w:ascii="Times New Roman" w:hAnsi="Times New Roman" w:cs="Times New Roman"/>
          <w:b/>
          <w:sz w:val="28"/>
          <w:szCs w:val="28"/>
        </w:rPr>
        <w:t>Международная практика развития ESG-финансирования: тренды и новации современного этапа</w:t>
      </w:r>
    </w:p>
    <w:p w:rsidR="00735766" w:rsidRPr="00735766" w:rsidRDefault="00735766" w:rsidP="009348A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(тезисы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735766">
        <w:rPr>
          <w:rFonts w:ascii="Times New Roman" w:hAnsi="Times New Roman" w:cs="Times New Roman"/>
          <w:sz w:val="28"/>
          <w:szCs w:val="28"/>
        </w:rPr>
        <w:t>)</w:t>
      </w:r>
    </w:p>
    <w:p w:rsidR="009348A3" w:rsidRPr="009348A3" w:rsidRDefault="009348A3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A3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66">
        <w:rPr>
          <w:rFonts w:ascii="Times New Roman" w:hAnsi="Times New Roman" w:cs="Times New Roman"/>
          <w:sz w:val="28"/>
          <w:szCs w:val="28"/>
        </w:rPr>
        <w:t xml:space="preserve">В докладе обобщаются итоги исследования в </w:t>
      </w:r>
      <w:r>
        <w:rPr>
          <w:rFonts w:ascii="Times New Roman" w:hAnsi="Times New Roman" w:cs="Times New Roman"/>
          <w:sz w:val="28"/>
          <w:szCs w:val="28"/>
        </w:rPr>
        <w:t xml:space="preserve">той его </w:t>
      </w:r>
      <w:r w:rsidR="00735766">
        <w:rPr>
          <w:rFonts w:ascii="Times New Roman" w:hAnsi="Times New Roman" w:cs="Times New Roman"/>
          <w:sz w:val="28"/>
          <w:szCs w:val="28"/>
        </w:rPr>
        <w:t xml:space="preserve">части, которая имела отношение к описанию </w:t>
      </w:r>
      <w:r>
        <w:rPr>
          <w:rFonts w:ascii="Times New Roman" w:hAnsi="Times New Roman" w:cs="Times New Roman"/>
          <w:sz w:val="28"/>
          <w:szCs w:val="28"/>
        </w:rPr>
        <w:t xml:space="preserve">механизма, сформированного на наднациональном уровне и оказывающего влияние на переориентацию финансовых потоков из секторов экономики, признаваемых неустойчивыми в устойчивые сектора экономики. Цель доклада – сформировать объективное мнение о стимулах, существующих в международной среде для формирования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9348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финансирования, которые изначально закладывались в глобальную систему преобразования экономической модели. Дополнительно делается акцент на деятельности многостороннего форума «Группы 20», усилиями которого осуществляется актуализация отдельных тем и направлений устойчивого финансирования.</w:t>
      </w:r>
    </w:p>
    <w:p w:rsidR="00735766" w:rsidRPr="009348A3" w:rsidRDefault="009348A3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hAnsi="Times New Roman" w:cs="Times New Roman"/>
          <w:sz w:val="28"/>
          <w:szCs w:val="28"/>
        </w:rPr>
        <w:t>Ф</w:t>
      </w:r>
      <w:r w:rsidR="00735766" w:rsidRPr="009348A3">
        <w:rPr>
          <w:rFonts w:ascii="Times New Roman" w:hAnsi="Times New Roman" w:cs="Times New Roman"/>
          <w:sz w:val="28"/>
          <w:szCs w:val="28"/>
        </w:rPr>
        <w:t xml:space="preserve">инальной целью </w:t>
      </w:r>
      <w:r w:rsidRPr="009348A3">
        <w:rPr>
          <w:rFonts w:ascii="Times New Roman" w:hAnsi="Times New Roman" w:cs="Times New Roman"/>
          <w:sz w:val="28"/>
          <w:szCs w:val="28"/>
        </w:rPr>
        <w:t xml:space="preserve">исследования, на которое опирается доклад </w:t>
      </w:r>
      <w:r w:rsidR="00735766" w:rsidRPr="009348A3">
        <w:rPr>
          <w:rFonts w:ascii="Times New Roman" w:hAnsi="Times New Roman" w:cs="Times New Roman"/>
          <w:sz w:val="28"/>
          <w:szCs w:val="28"/>
        </w:rPr>
        <w:t>явля</w:t>
      </w:r>
      <w:r w:rsidRPr="009348A3">
        <w:rPr>
          <w:rFonts w:ascii="Times New Roman" w:hAnsi="Times New Roman" w:cs="Times New Roman"/>
          <w:sz w:val="28"/>
          <w:szCs w:val="28"/>
        </w:rPr>
        <w:t>лось</w:t>
      </w:r>
      <w:r w:rsidR="00735766" w:rsidRPr="009348A3">
        <w:rPr>
          <w:rFonts w:ascii="Times New Roman" w:hAnsi="Times New Roman" w:cs="Times New Roman"/>
          <w:sz w:val="28"/>
          <w:szCs w:val="28"/>
        </w:rPr>
        <w:t xml:space="preserve"> р</w:t>
      </w:r>
      <w:r w:rsidR="00735766"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предложений по совершенствованию политики и нормативно-правовой базы зеленого финансирования в </w:t>
      </w:r>
      <w:r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735766"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сложная исследовательская задача, поскольку она требует: </w:t>
      </w:r>
    </w:p>
    <w:p w:rsidR="00735766" w:rsidRPr="009348A3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понимания фундаментальных воздействующих факторов, которые собственно и привели к возникновению такого нового явления в нашей жизни как «зеленые финансы»;</w:t>
      </w:r>
    </w:p>
    <w:p w:rsidR="00735766" w:rsidRPr="009348A3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понимания причин, объясняющих почему зеленое финансирование надо рассматривать как инструмент, обладающий потенциалом решения актуальных задач социально-экономического развития страны. </w:t>
      </w:r>
    </w:p>
    <w:p w:rsidR="00735766" w:rsidRPr="009348A3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цели есть конкретный прикладной экономический результат, поскольку в ходе ее достижения мы должны сформировать объективное представление:</w:t>
      </w:r>
    </w:p>
    <w:p w:rsidR="00735766" w:rsidRPr="009348A3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о том какие возможности существуют у </w:t>
      </w:r>
      <w:r w:rsidR="009348A3"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93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привлечению с глобального финансового рынка зеленого финансирования для решение национальных проблем развития и, во-вторых, о том, как организовать и обеспечить эффективное функционирование нового устойчивого сегмента национального финансового рынка, который собственно и аккумулирует в себе национальные зеленые финансы.</w:t>
      </w:r>
    </w:p>
    <w:p w:rsidR="00735766" w:rsidRPr="00735766" w:rsidRDefault="009348A3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35766" w:rsidRPr="0093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возможностях, которые потенциально существуют у </w:t>
      </w:r>
      <w:r w:rsidRPr="0093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</w:t>
      </w:r>
      <w:r w:rsidR="00735766"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766" w:rsidRPr="0073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привлечению с глобального финансового рынка зеленого финансирования.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и описание возможностей требует ответов на следующие три вопроса: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кто формирует глобальную повестку устойчивого развития?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i/>
          <w:sz w:val="28"/>
          <w:szCs w:val="28"/>
        </w:rPr>
        <w:t>Ответ на этот вопрос</w:t>
      </w:r>
      <w:r w:rsidRPr="00735766">
        <w:rPr>
          <w:rFonts w:ascii="Times New Roman" w:hAnsi="Times New Roman" w:cs="Times New Roman"/>
          <w:sz w:val="28"/>
          <w:szCs w:val="28"/>
        </w:rPr>
        <w:t xml:space="preserve"> </w:t>
      </w:r>
      <w:r w:rsidRPr="00735766">
        <w:rPr>
          <w:rFonts w:ascii="Times New Roman" w:hAnsi="Times New Roman" w:cs="Times New Roman"/>
          <w:b/>
          <w:i/>
          <w:sz w:val="28"/>
          <w:szCs w:val="28"/>
        </w:rPr>
        <w:t>обеспечит</w:t>
      </w:r>
      <w:r w:rsidRPr="00735766">
        <w:rPr>
          <w:rFonts w:ascii="Times New Roman" w:hAnsi="Times New Roman" w:cs="Times New Roman"/>
          <w:sz w:val="28"/>
          <w:szCs w:val="28"/>
        </w:rPr>
        <w:t xml:space="preserve"> нам понимание системы предпринимаемых на глобальном уровне действий по формированию правил аккумулирования ресурсов и перенаправления их из неустойчивых секторов экономики – в устойчивые, зеленые сектора.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какие цели может быть привлечено устойчивое или же зеленое финансирование?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на этот вопрос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выявить </w:t>
      </w:r>
      <w:r w:rsidRPr="00735766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 развития зеленого финансирования</w:t>
      </w:r>
      <w:r w:rsidRPr="0073576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66">
        <w:rPr>
          <w:rFonts w:ascii="Times New Roman" w:eastAsia="Times New Roman" w:hAnsi="Times New Roman" w:cs="Times New Roman"/>
          <w:sz w:val="28"/>
          <w:szCs w:val="28"/>
        </w:rPr>
        <w:t xml:space="preserve">2) определить в нем 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r w:rsidRPr="00735766">
        <w:rPr>
          <w:rFonts w:ascii="Times New Roman" w:eastAsia="Times New Roman" w:hAnsi="Times New Roman" w:cs="Times New Roman"/>
          <w:sz w:val="28"/>
          <w:szCs w:val="28"/>
        </w:rPr>
        <w:t xml:space="preserve"> для страны направления, концентрация усилий на которых обеспечит </w:t>
      </w:r>
      <w:r w:rsidRPr="0073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национальных интересов Кыргызстана.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страна может использовать глобальную повестку для решения национальных проблем развития?</w:t>
      </w:r>
    </w:p>
    <w:p w:rsidR="00735766" w:rsidRPr="00735766" w:rsidRDefault="009348A3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на этот вопрос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735766" w:rsidRPr="00934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олжен показать</w:t>
      </w:r>
      <w:r w:rsidR="00735766"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эффективного заимствования решений и инструментов, создаваемых в рамках </w:t>
      </w:r>
      <w:r w:rsidR="00735766" w:rsidRPr="00735766">
        <w:rPr>
          <w:rFonts w:ascii="Times New Roman" w:hAnsi="Times New Roman" w:cs="Times New Roman"/>
          <w:sz w:val="28"/>
          <w:szCs w:val="28"/>
        </w:rPr>
        <w:t>приоритетов, формируемых в международной повестке международных организаций и многосторонних форумов (на примере «Группы 20»), в части формирования нового сегмента финансового рынка – устойчивых, зеленых финансов для достижения национальных целей развития</w:t>
      </w:r>
      <w:r w:rsidR="00735766"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задача абсолютно прагматичная и заключается она в том, чтобы </w:t>
      </w:r>
      <w:r w:rsidRPr="00735766">
        <w:rPr>
          <w:rFonts w:ascii="Times New Roman" w:hAnsi="Times New Roman" w:cs="Times New Roman"/>
          <w:sz w:val="28"/>
          <w:szCs w:val="28"/>
        </w:rPr>
        <w:t xml:space="preserve">сформировать объективное мнение о </w:t>
      </w:r>
      <w:r w:rsidRPr="009348A3">
        <w:rPr>
          <w:rFonts w:ascii="Times New Roman" w:hAnsi="Times New Roman" w:cs="Times New Roman"/>
          <w:sz w:val="28"/>
          <w:szCs w:val="28"/>
        </w:rPr>
        <w:t xml:space="preserve">возможностях зеленого финансирования </w:t>
      </w:r>
      <w:r w:rsidRPr="00735766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9348A3">
        <w:rPr>
          <w:rFonts w:ascii="Times New Roman" w:hAnsi="Times New Roman" w:cs="Times New Roman"/>
          <w:sz w:val="28"/>
          <w:szCs w:val="28"/>
        </w:rPr>
        <w:t>страной</w:t>
      </w:r>
      <w:r w:rsidRPr="00735766">
        <w:rPr>
          <w:rFonts w:ascii="Times New Roman" w:hAnsi="Times New Roman" w:cs="Times New Roman"/>
          <w:sz w:val="28"/>
          <w:szCs w:val="28"/>
        </w:rPr>
        <w:t xml:space="preserve"> национальных целей развития. Т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.е. обеспечить достижение национальных интересов страны, одновременно решая задачи технологического перевооружения и повышая конкурентоспособность национальной экономики. </w:t>
      </w:r>
    </w:p>
    <w:p w:rsidR="00735766" w:rsidRPr="00735766" w:rsidRDefault="009348A3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766"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766" w:rsidRPr="00735766">
        <w:rPr>
          <w:rFonts w:ascii="Times New Roman" w:hAnsi="Times New Roman" w:cs="Times New Roman"/>
          <w:b/>
          <w:sz w:val="28"/>
          <w:szCs w:val="28"/>
        </w:rPr>
        <w:t>Кто главный в повестке и каким образом выстраивается система зеленого финансирования?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Если говорить обобщенно, то - ООН. Это именно та институциональная </w:t>
      </w:r>
      <w:r w:rsidRPr="009348A3">
        <w:rPr>
          <w:rFonts w:ascii="Times New Roman" w:hAnsi="Times New Roman" w:cs="Times New Roman"/>
          <w:sz w:val="28"/>
          <w:szCs w:val="28"/>
        </w:rPr>
        <w:t>структура, которая воздействует на страны мира с целью изменения их национальных стратегий</w:t>
      </w:r>
      <w:r w:rsidRPr="00735766">
        <w:rPr>
          <w:rFonts w:ascii="Times New Roman" w:hAnsi="Times New Roman" w:cs="Times New Roman"/>
          <w:sz w:val="28"/>
          <w:szCs w:val="28"/>
        </w:rPr>
        <w:t xml:space="preserve"> в направлении, признаваемом устойчивым. Этот процесс начался не сегодня и не закончится внезапно. Сформирован механизм посредством которого осуществляется воздействие на страны с целью преобразования мира.</w:t>
      </w:r>
      <w:r w:rsidR="009348A3">
        <w:rPr>
          <w:rFonts w:ascii="Times New Roman" w:hAnsi="Times New Roman" w:cs="Times New Roman"/>
          <w:sz w:val="28"/>
          <w:szCs w:val="28"/>
        </w:rPr>
        <w:t xml:space="preserve"> </w:t>
      </w:r>
      <w:r w:rsidRPr="00735766">
        <w:rPr>
          <w:rFonts w:ascii="Times New Roman" w:hAnsi="Times New Roman" w:cs="Times New Roman"/>
          <w:sz w:val="28"/>
          <w:szCs w:val="28"/>
        </w:rPr>
        <w:t xml:space="preserve">Инструмент, который используется </w:t>
      </w:r>
      <w:r w:rsidRPr="009348A3">
        <w:rPr>
          <w:rFonts w:ascii="Times New Roman" w:hAnsi="Times New Roman" w:cs="Times New Roman"/>
          <w:b/>
          <w:sz w:val="28"/>
          <w:szCs w:val="28"/>
        </w:rPr>
        <w:t>– цели устойчивого развития,</w:t>
      </w:r>
      <w:r w:rsidRPr="00735766">
        <w:rPr>
          <w:rFonts w:ascii="Times New Roman" w:hAnsi="Times New Roman" w:cs="Times New Roman"/>
          <w:sz w:val="28"/>
          <w:szCs w:val="28"/>
        </w:rPr>
        <w:t xml:space="preserve"> зафиксированные в Резолюции ООН принятой </w:t>
      </w:r>
      <w:r w:rsidRPr="00735766">
        <w:rPr>
          <w:rFonts w:ascii="Times New Roman" w:hAnsi="Times New Roman" w:cs="Times New Roman"/>
          <w:sz w:val="28"/>
          <w:szCs w:val="28"/>
        </w:rPr>
        <w:lastRenderedPageBreak/>
        <w:t>Генеральной ассамблеей ООН в 2015 году и ратифицированной странами-членами ООН уже в 2016 году.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766">
        <w:rPr>
          <w:rFonts w:ascii="Times New Roman" w:eastAsia="Times New Roman" w:hAnsi="Times New Roman" w:cs="Times New Roman"/>
          <w:sz w:val="28"/>
          <w:szCs w:val="28"/>
        </w:rPr>
        <w:t xml:space="preserve">Через цели устойчивого развития </w:t>
      </w:r>
      <w:r w:rsidRPr="004840AB">
        <w:rPr>
          <w:rFonts w:ascii="Times New Roman" w:eastAsia="Times New Roman" w:hAnsi="Times New Roman" w:cs="Times New Roman"/>
          <w:sz w:val="28"/>
          <w:szCs w:val="28"/>
        </w:rPr>
        <w:t>реализуется такой принцип, как консолидация разнонаправленных целей, интересов, задач и подходов, свойственных различным по своему развитию странам на единой платформе с требованием придания процессу развития страны определенного вектора движения.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Принятию ЦУР предшествовал более чем двадцатилетний период р</w:t>
      </w:r>
      <w:r w:rsidR="004840AB">
        <w:rPr>
          <w:rFonts w:ascii="Times New Roman" w:hAnsi="Times New Roman" w:cs="Times New Roman"/>
          <w:sz w:val="28"/>
          <w:szCs w:val="28"/>
        </w:rPr>
        <w:t>аботы стран, координируемый ООН</w:t>
      </w:r>
      <w:r w:rsidRPr="00735766">
        <w:rPr>
          <w:rFonts w:ascii="Times New Roman" w:hAnsi="Times New Roman" w:cs="Times New Roman"/>
          <w:sz w:val="28"/>
          <w:szCs w:val="28"/>
        </w:rPr>
        <w:t xml:space="preserve">. Этот процесс довольно подробно описан на сайте ООН, плюс он является предметом изучения исследователей из разных стран мира, в интерпретации которых формируется богатая палитра оценки событий и фактов. Не будем останавливаться на истории и хронологии этого процесса, поскольку это уже сделано другими экспертами. Большую ценность для нашего исследования представляет понимание того, какой механизм преобразования мира был в результате сформирован, как страны вовлекаются в его орбиту и за счет каких ресурсов он функционирует и развивается. </w:t>
      </w:r>
    </w:p>
    <w:p w:rsidR="00735766" w:rsidRPr="004840AB" w:rsidRDefault="004840AB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b/>
          <w:sz w:val="28"/>
          <w:szCs w:val="28"/>
        </w:rPr>
        <w:t>3</w:t>
      </w:r>
      <w:r w:rsidR="00735766" w:rsidRPr="004840A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35766" w:rsidRPr="00735766">
        <w:rPr>
          <w:rFonts w:ascii="Times New Roman" w:hAnsi="Times New Roman" w:cs="Times New Roman"/>
          <w:b/>
          <w:sz w:val="28"/>
          <w:szCs w:val="28"/>
        </w:rPr>
        <w:t>снова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практики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ESG</w:t>
      </w:r>
      <w:r w:rsidRPr="004840A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735766" w:rsidRPr="00735766" w:rsidRDefault="004840AB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5766" w:rsidRPr="00735766">
        <w:rPr>
          <w:rFonts w:ascii="Times New Roman" w:hAnsi="Times New Roman" w:cs="Times New Roman"/>
          <w:sz w:val="28"/>
          <w:szCs w:val="28"/>
        </w:rPr>
        <w:t>Резолюции Генеральной ассамблеи ООН 25 сентября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66" w:rsidRPr="00735766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35766" w:rsidRPr="00735766">
        <w:rPr>
          <w:rFonts w:ascii="Times New Roman" w:hAnsi="Times New Roman" w:cs="Times New Roman"/>
          <w:sz w:val="28"/>
          <w:szCs w:val="28"/>
        </w:rPr>
        <w:t xml:space="preserve"> контуры механизма преобразов</w:t>
      </w:r>
      <w:r>
        <w:rPr>
          <w:rFonts w:ascii="Times New Roman" w:hAnsi="Times New Roman" w:cs="Times New Roman"/>
          <w:sz w:val="28"/>
          <w:szCs w:val="28"/>
        </w:rPr>
        <w:t>ания мира, формируемого сегодня.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735766">
        <w:rPr>
          <w:rFonts w:ascii="Times New Roman" w:hAnsi="Times New Roman" w:cs="Times New Roman"/>
          <w:sz w:val="28"/>
          <w:szCs w:val="28"/>
        </w:rPr>
        <w:t xml:space="preserve"> </w:t>
      </w:r>
      <w:r w:rsidRPr="004840A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4840AB">
        <w:rPr>
          <w:rFonts w:ascii="Times New Roman" w:hAnsi="Times New Roman" w:cs="Times New Roman"/>
          <w:i/>
          <w:sz w:val="28"/>
          <w:szCs w:val="28"/>
        </w:rPr>
        <w:t>процесс взаимодействия по вовлечению стран в реализацию ЦУР</w:t>
      </w:r>
      <w:r w:rsidRPr="004840AB">
        <w:rPr>
          <w:rFonts w:ascii="Times New Roman" w:hAnsi="Times New Roman" w:cs="Times New Roman"/>
          <w:sz w:val="28"/>
          <w:szCs w:val="28"/>
        </w:rPr>
        <w:t xml:space="preserve">. С этой целью обновляется Глобальное партнерство, которое было создано ранее, для организации работы и отслеживания прогресса в ходе реализации ЦРТ.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Страны признаются главными субъектами, несущими ответственность за собственное социальное и экономическое развитие, а роль национальных политик определяется как ключевая.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Соответственно, странам предлагается руководствоваться принципом национальной ответственности и разработать национальные стратегии в области устойчивого развития, а также сформировать под заявляемые стратегические планы «комплексные национальные механизмы финансирования».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>При этом отмечается, что одновременно с проведением ответственной национальной политики страны должны мобилизоваться на обеспечение устойчивого развития и достижение ЦУР, а также эффективно использовать внутренние ресурсы, которые формируются за счет экономического роста и благоприятствующих ему условий.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sz w:val="28"/>
          <w:szCs w:val="28"/>
        </w:rPr>
        <w:lastRenderedPageBreak/>
        <w:t>Во-вторых</w:t>
      </w:r>
      <w:r w:rsidRPr="00735766">
        <w:rPr>
          <w:rFonts w:ascii="Times New Roman" w:hAnsi="Times New Roman" w:cs="Times New Roman"/>
          <w:sz w:val="28"/>
          <w:szCs w:val="28"/>
        </w:rPr>
        <w:t xml:space="preserve">, создается механизм, через который будет осуществляться воздействие на страны, получивший название </w:t>
      </w:r>
      <w:r w:rsidRPr="004840AB">
        <w:rPr>
          <w:rFonts w:ascii="Times New Roman" w:hAnsi="Times New Roman" w:cs="Times New Roman"/>
          <w:i/>
          <w:sz w:val="28"/>
          <w:szCs w:val="28"/>
        </w:rPr>
        <w:t>Механизма содействия развитию технологий.</w:t>
      </w:r>
      <w:r w:rsidRPr="00735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5766">
        <w:rPr>
          <w:rFonts w:ascii="Times New Roman" w:hAnsi="Times New Roman" w:cs="Times New Roman"/>
          <w:sz w:val="28"/>
          <w:szCs w:val="28"/>
        </w:rPr>
        <w:t>Он включает:</w:t>
      </w:r>
    </w:p>
    <w:p w:rsidR="00735766" w:rsidRPr="004840AB" w:rsidRDefault="00735766" w:rsidP="00735766">
      <w:pPr>
        <w:pStyle w:val="a3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766">
        <w:rPr>
          <w:rFonts w:ascii="Times New Roman" w:hAnsi="Times New Roman" w:cs="Times New Roman"/>
          <w:i/>
          <w:sz w:val="28"/>
          <w:szCs w:val="28"/>
        </w:rPr>
        <w:t>Межучережденческую целевую группу ООН по науке, технике и инновациям</w:t>
      </w:r>
      <w:r w:rsidRPr="00735766">
        <w:rPr>
          <w:rFonts w:ascii="Times New Roman" w:hAnsi="Times New Roman" w:cs="Times New Roman"/>
          <w:sz w:val="28"/>
          <w:szCs w:val="28"/>
        </w:rPr>
        <w:t xml:space="preserve"> в интересах достижения ЦУР. На нее возлагается решение </w:t>
      </w:r>
      <w:r w:rsidRPr="004840AB">
        <w:rPr>
          <w:rFonts w:ascii="Times New Roman" w:hAnsi="Times New Roman" w:cs="Times New Roman"/>
          <w:sz w:val="28"/>
          <w:szCs w:val="28"/>
        </w:rPr>
        <w:t xml:space="preserve">задачи обеспечения координации деятельности учреждений ООН, которые будут задействованы в создании условий для эффективного использования научно-технического прогресса для достижения ЦУР. Ее цель – </w:t>
      </w:r>
      <w:r w:rsidRPr="004840AB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развитию науки и технологий в интересах достижения ЦУР и наращивания странами потенциала;</w:t>
      </w:r>
    </w:p>
    <w:p w:rsidR="00735766" w:rsidRPr="004840AB" w:rsidRDefault="00735766" w:rsidP="00735766">
      <w:pPr>
        <w:pStyle w:val="a3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40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Онлайн платформу</w:t>
      </w:r>
      <w:r w:rsidRPr="0048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Ее задачей является: формирование систематизированной базы данных о существующих в странах мира и международных структурах инициативах и стратегиях по содействию науке, технике и инновациям для достижения ЦУР. </w:t>
      </w:r>
      <w:r w:rsidRPr="00484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Ее цель - открыть доступ к информации всем заинтересованным лицам и тем самым содействовать развитию науки, техники и инноваций </w:t>
      </w:r>
      <w:r w:rsidRPr="004840AB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ЦУР</w:t>
      </w:r>
      <w:r w:rsidRPr="00484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35766" w:rsidRPr="004840AB" w:rsidRDefault="00735766" w:rsidP="00735766">
      <w:pPr>
        <w:pStyle w:val="a3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0A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Многосторонний форум по науке, </w:t>
      </w:r>
      <w:r w:rsidRPr="004840AB">
        <w:rPr>
          <w:rFonts w:ascii="Times New Roman" w:hAnsi="Times New Roman" w:cs="Times New Roman"/>
          <w:i/>
          <w:sz w:val="28"/>
          <w:szCs w:val="28"/>
        </w:rPr>
        <w:t>технике и инновациям</w:t>
      </w:r>
      <w:r w:rsidRPr="004840AB">
        <w:rPr>
          <w:rFonts w:ascii="Times New Roman" w:hAnsi="Times New Roman" w:cs="Times New Roman"/>
          <w:sz w:val="28"/>
          <w:szCs w:val="28"/>
        </w:rPr>
        <w:t xml:space="preserve"> в интересах достижения ЦУР. Он запланирован как совещательный орган, в рамках которого можно обсуждать тематические области достижения ЦУР и проблемы сотрудничества в научно-технологической сфере в них возникающие. Его цель - выявить потребности в области технологий, существующие «узкие места», сдерживающие сотрудничество в этой сфере и, соответственно, передачу и распространение технологий в интересах достижения ЦУР.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i/>
          <w:sz w:val="28"/>
          <w:szCs w:val="28"/>
        </w:rPr>
        <w:t>Политический форум высокого уровня</w:t>
      </w:r>
      <w:r w:rsidRPr="004840AB">
        <w:rPr>
          <w:rFonts w:ascii="Times New Roman" w:hAnsi="Times New Roman" w:cs="Times New Roman"/>
          <w:sz w:val="28"/>
          <w:szCs w:val="28"/>
        </w:rPr>
        <w:t xml:space="preserve">. Его задача, в дополнение к 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общестратегическим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функциям управления процессом, обобщать деятельность Многостороннего форума по науке, технике и инновациям в интересах достижения ЦУР.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В форме схемы, создаваемая институциональная структура реализации ЦУР представлена </w:t>
      </w:r>
      <w:r w:rsidRPr="004840AB">
        <w:rPr>
          <w:rFonts w:ascii="Times New Roman" w:hAnsi="Times New Roman" w:cs="Times New Roman"/>
          <w:i/>
          <w:sz w:val="28"/>
          <w:szCs w:val="28"/>
        </w:rPr>
        <w:t>на рис. Институциональная структура реализации ЦУР</w:t>
      </w:r>
      <w:r w:rsidRPr="00484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>Все элементы формируемой в рамках ООН институциональной структуры взаимосвязаны между собой в части решаемых задач и планируемых к достижению целей. Она образована на платформе Политического форума высокого уровня ООН, созданного под руководством Экономического и Социального Совета ООН и Генеральной Ассамблеи ООН, что придает ей особый статус и значимость в силу особой роли этих структур ООН.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Предполагается, что </w:t>
      </w:r>
      <w:r w:rsidRPr="004840AB">
        <w:rPr>
          <w:rFonts w:ascii="Times New Roman" w:hAnsi="Times New Roman" w:cs="Times New Roman"/>
          <w:sz w:val="28"/>
          <w:szCs w:val="28"/>
        </w:rPr>
        <w:t>страны добровольно будут вносить изменения в национальные стратегии развития, которые будут формировать основы их планов по достижению всего комплекса ЦУР.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На текущем этапе реализации процесса большое значение для разработки странами конкретных мер национальной политики достижения ЦУР имеет научно-техническая политика. Перевод экономического и производственного базиса на новый технологический уровень должен способствовать решению как экологических проблем, так и </w:t>
      </w:r>
      <w:proofErr w:type="gramStart"/>
      <w:r w:rsidRPr="004840AB">
        <w:rPr>
          <w:rFonts w:ascii="Times New Roman" w:hAnsi="Times New Roman" w:cs="Times New Roman"/>
          <w:sz w:val="28"/>
          <w:szCs w:val="28"/>
        </w:rPr>
        <w:t>более эффективному использованию</w:t>
      </w:r>
      <w:proofErr w:type="gramEnd"/>
      <w:r w:rsidRPr="004840AB">
        <w:rPr>
          <w:rFonts w:ascii="Times New Roman" w:hAnsi="Times New Roman" w:cs="Times New Roman"/>
          <w:sz w:val="28"/>
          <w:szCs w:val="28"/>
        </w:rPr>
        <w:t xml:space="preserve"> и распределению ресурсов. Новые технологии в социальной сфере будут способствовать трансформации социальных отношений. В целом, в рамках созданной структуры ООН планируется развитие науки и инноваций по всем тематическим областям устойчивого</w:t>
      </w:r>
      <w:r w:rsidRPr="00735766">
        <w:rPr>
          <w:rFonts w:ascii="Times New Roman" w:hAnsi="Times New Roman" w:cs="Times New Roman"/>
          <w:sz w:val="28"/>
          <w:szCs w:val="28"/>
        </w:rPr>
        <w:t xml:space="preserve"> развития.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>Можно сказать, что создана достаточно гибкая структура по формированию новых правил современного мироустройства, в центре внимания которой находится проблема научно-технических и технологических преобразований современной модели развития в сторону повышения ее устойчивости, при этом направления трансформации задаются ЦУР.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Третий контур формируемого механизма преобразования мира, который дополняет рассмотренный выше процесс взаимодействия по вовлечению стран в реализацию ЦУР и механизм содействия развитию технологий это </w:t>
      </w:r>
      <w:r w:rsidRPr="004840AB">
        <w:rPr>
          <w:rFonts w:ascii="Times New Roman" w:hAnsi="Times New Roman" w:cs="Times New Roman"/>
          <w:i/>
          <w:sz w:val="28"/>
          <w:szCs w:val="28"/>
        </w:rPr>
        <w:t>средства осуществления Повестки дня в области устойчивого развития на период до 2030 года</w:t>
      </w:r>
      <w:r w:rsidRPr="004840AB">
        <w:rPr>
          <w:rFonts w:ascii="Times New Roman" w:hAnsi="Times New Roman" w:cs="Times New Roman"/>
          <w:sz w:val="28"/>
          <w:szCs w:val="28"/>
        </w:rPr>
        <w:t xml:space="preserve">. </w:t>
      </w:r>
      <w:r w:rsidRPr="004840AB">
        <w:rPr>
          <w:rFonts w:ascii="Times New Roman" w:hAnsi="Times New Roman" w:cs="Times New Roman"/>
          <w:i/>
          <w:sz w:val="28"/>
          <w:szCs w:val="28"/>
        </w:rPr>
        <w:t xml:space="preserve">Перечень средств достижения целей </w:t>
      </w:r>
      <w:r w:rsidRPr="004840AB">
        <w:rPr>
          <w:rFonts w:ascii="Times New Roman" w:hAnsi="Times New Roman" w:cs="Times New Roman"/>
          <w:sz w:val="28"/>
          <w:szCs w:val="28"/>
        </w:rPr>
        <w:t>широкий, поскольку извлекается из всего спектра задач, составляющих ЦУР. При этом особенную роль играют ЦУР 16 и ЦУР 17. ЦУР 16 формирует гуманистические основы и юридические рамки устойчивого развития. ЦУР 17 – создает систему, интегрирующую ключевые сферы взаимодействия стран для реализации задач, определенных Повесткой дня.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>Анализируя средства достижения ЦУР (в рамках 1-16 целей) мож</w:t>
      </w:r>
      <w:r w:rsidR="004840AB">
        <w:rPr>
          <w:rFonts w:ascii="Times New Roman" w:hAnsi="Times New Roman" w:cs="Times New Roman"/>
          <w:sz w:val="28"/>
          <w:szCs w:val="28"/>
        </w:rPr>
        <w:t>но выделить следующие их формы</w:t>
      </w:r>
      <w:r w:rsidRPr="004840AB">
        <w:rPr>
          <w:rFonts w:ascii="Times New Roman" w:hAnsi="Times New Roman" w:cs="Times New Roman"/>
          <w:sz w:val="28"/>
          <w:szCs w:val="28"/>
        </w:rPr>
        <w:t>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766">
        <w:rPr>
          <w:rFonts w:ascii="Times New Roman" w:hAnsi="Times New Roman" w:cs="Times New Roman"/>
          <w:b/>
          <w:sz w:val="28"/>
          <w:szCs w:val="28"/>
        </w:rPr>
        <w:t>Во-первых, это средства организации процесса</w:t>
      </w:r>
      <w:r w:rsidRPr="00735766">
        <w:rPr>
          <w:rFonts w:ascii="Times New Roman" w:hAnsi="Times New Roman" w:cs="Times New Roman"/>
          <w:sz w:val="28"/>
          <w:szCs w:val="28"/>
        </w:rPr>
        <w:t xml:space="preserve"> в рамках ЦУР. Которые могут быть систематизированы по следующим сферам: </w:t>
      </w:r>
      <w:r w:rsidRPr="00735766">
        <w:rPr>
          <w:rFonts w:ascii="Times New Roman" w:hAnsi="Times New Roman" w:cs="Times New Roman"/>
          <w:i/>
          <w:sz w:val="28"/>
          <w:szCs w:val="28"/>
        </w:rPr>
        <w:t>социальная; экология; международная торговля.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766">
        <w:rPr>
          <w:rFonts w:ascii="Times New Roman" w:hAnsi="Times New Roman" w:cs="Times New Roman"/>
          <w:b/>
          <w:sz w:val="28"/>
          <w:szCs w:val="28"/>
        </w:rPr>
        <w:t>Во-вторых, это направления мобилизации финансовых ресурсов</w:t>
      </w:r>
      <w:r w:rsidRPr="00735766">
        <w:rPr>
          <w:rFonts w:ascii="Times New Roman" w:hAnsi="Times New Roman" w:cs="Times New Roman"/>
          <w:sz w:val="28"/>
          <w:szCs w:val="28"/>
        </w:rPr>
        <w:t xml:space="preserve">. Предполагаемые ресурсы систематизированы также по сферам: </w:t>
      </w:r>
      <w:r w:rsidRPr="00735766">
        <w:rPr>
          <w:rFonts w:ascii="Times New Roman" w:hAnsi="Times New Roman" w:cs="Times New Roman"/>
          <w:i/>
          <w:sz w:val="28"/>
          <w:szCs w:val="28"/>
        </w:rPr>
        <w:t xml:space="preserve">социальная; </w:t>
      </w:r>
      <w:r w:rsidRPr="00735766">
        <w:rPr>
          <w:rFonts w:ascii="Times New Roman" w:hAnsi="Times New Roman" w:cs="Times New Roman"/>
          <w:i/>
          <w:sz w:val="28"/>
          <w:szCs w:val="28"/>
        </w:rPr>
        <w:lastRenderedPageBreak/>
        <w:t>экология; международная торговля; экономическое развитие (сокращение неравенства).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Анализ средств достижения ЦУР в рамках 1-16 целей приводит к выводу, что они концентрируются преимущественно на проблемах экологии и социальной сферы. Есть еще три области отношений: формирование правовой среды; международная торговля и экономическое развитие где предусматриваются менее амбициозные планы или же точечные меры.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sz w:val="28"/>
          <w:szCs w:val="28"/>
        </w:rPr>
        <w:t>ЦУР 17 выполняет системообразующую роль</w:t>
      </w:r>
      <w:r w:rsidRPr="00735766">
        <w:rPr>
          <w:rFonts w:ascii="Times New Roman" w:hAnsi="Times New Roman" w:cs="Times New Roman"/>
          <w:sz w:val="28"/>
          <w:szCs w:val="28"/>
        </w:rPr>
        <w:t>, поскольку интегрирует ключевые сферы взаимодействия стран для достижения задач Повестки дня. Интеграция осуществляется в рамках следующих направлений: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i/>
          <w:sz w:val="28"/>
          <w:szCs w:val="28"/>
        </w:rPr>
        <w:t>Финансы</w:t>
      </w:r>
      <w:r w:rsidRPr="00735766">
        <w:rPr>
          <w:rFonts w:ascii="Times New Roman" w:hAnsi="Times New Roman" w:cs="Times New Roman"/>
          <w:b/>
          <w:sz w:val="28"/>
          <w:szCs w:val="28"/>
        </w:rPr>
        <w:t>.</w:t>
      </w:r>
      <w:r w:rsidRPr="00735766">
        <w:rPr>
          <w:rFonts w:ascii="Times New Roman" w:hAnsi="Times New Roman" w:cs="Times New Roman"/>
          <w:sz w:val="28"/>
          <w:szCs w:val="28"/>
        </w:rPr>
        <w:t xml:space="preserve"> Ключевая роль здесь отводится процессу </w:t>
      </w:r>
      <w:r w:rsidRPr="00735766">
        <w:rPr>
          <w:rFonts w:ascii="Times New Roman" w:hAnsi="Times New Roman" w:cs="Times New Roman"/>
          <w:b/>
          <w:sz w:val="28"/>
          <w:szCs w:val="28"/>
        </w:rPr>
        <w:t>мобилизации</w:t>
      </w:r>
      <w:r w:rsidRPr="00735766">
        <w:rPr>
          <w:rFonts w:ascii="Times New Roman" w:hAnsi="Times New Roman" w:cs="Times New Roman"/>
          <w:sz w:val="28"/>
          <w:szCs w:val="28"/>
        </w:rPr>
        <w:t xml:space="preserve"> странами своих </w:t>
      </w:r>
      <w:r w:rsidRPr="00735766">
        <w:rPr>
          <w:rFonts w:ascii="Times New Roman" w:hAnsi="Times New Roman" w:cs="Times New Roman"/>
          <w:b/>
          <w:sz w:val="28"/>
          <w:szCs w:val="28"/>
        </w:rPr>
        <w:t>внутренних ресурсов</w:t>
      </w:r>
      <w:r w:rsidRPr="00735766">
        <w:rPr>
          <w:rFonts w:ascii="Times New Roman" w:hAnsi="Times New Roman" w:cs="Times New Roman"/>
          <w:sz w:val="28"/>
          <w:szCs w:val="28"/>
        </w:rPr>
        <w:t xml:space="preserve">. Именно за счет внутренней мобилизации предполагается как решать задачи устойчивого развития у себя в стране, так и оказывать помощь другим странам (развивающимся).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Также обращается внимание на роль прямых иностранных инвестиций и возможности кредитования развивающихся стран развитыми. Кредитование не должно приводить к росту долгового бремени, а инструменты реструктуризации внешней задолженности бедных стран должны найти широкое распространение.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i/>
          <w:sz w:val="28"/>
          <w:szCs w:val="28"/>
        </w:rPr>
        <w:t>Технологии.</w:t>
      </w:r>
      <w:r w:rsidRPr="00735766">
        <w:rPr>
          <w:rFonts w:ascii="Times New Roman" w:hAnsi="Times New Roman" w:cs="Times New Roman"/>
          <w:sz w:val="28"/>
          <w:szCs w:val="28"/>
        </w:rPr>
        <w:t xml:space="preserve"> Меры, формулируемые в рамках этого элемента, направлены на решение задачи повышения роли сотрудничества развитых и развивающихся стран в области разработки, передачи, распространения и освоения новой техники и технологий, в том числе экологически безопасных технологий. Планируется выстраивание широких сетей сотрудничества как на международном, так и на региональном уровнях. Для облегчения доступа развивающихся стран к новым технологиям планируется создание специализированного банка технологий и механизма развития науки, технологий и инноваций в интересах наименее развитых стран.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Такое большое внимание к научно-инновационной и технологической компоненте в целях устойчивого развития имеет свое объяснение. С одной стороны, бедность признается основной проблемой, усугубляющей экологическую и социальную ситуацию в странах, которая в свою очередь не позволяют преодолеть проблему бедности.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Признается, что в бедных странах вопросы экологии, социальной справедливости отодвигаются на задний план, поскольку общество в первую очередь решает проблемы физического выживания. С другой стороны, именно существующая модель развития породила неравенство в экономическом </w:t>
      </w:r>
      <w:r w:rsidRPr="00735766">
        <w:rPr>
          <w:rFonts w:ascii="Times New Roman" w:hAnsi="Times New Roman" w:cs="Times New Roman"/>
          <w:sz w:val="28"/>
          <w:szCs w:val="28"/>
        </w:rPr>
        <w:lastRenderedPageBreak/>
        <w:t xml:space="preserve">развитии стран, экологические риски и дефициты и социальную несправедливость и требует изменения.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Этим и обосновывается идея, что преодолеть неустойчивость развития можно за счет изменения экономической модели, осуществив модернизацию экономики на новой технологической основе, т.е. поощряя развитие новых устойчивых секторов экономики и постепенно ликвидируя неустойчивые сектора экономики. Модернизация экономики на новой технологической основе (зеленая экономика) сложный и дорогостоящий процесс, поэтому и создается Глобальное партнерство и стимулируется взаимодействие развитых и развивающихся стран в области разработки, освоения и передачи этих новых устойчивых технологий, а также финансирования процесса их внедрения в наименее развитых и развивающихся странах.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i/>
          <w:sz w:val="28"/>
          <w:szCs w:val="28"/>
        </w:rPr>
        <w:t>Наращивание потенциала</w:t>
      </w:r>
      <w:r w:rsidRPr="00735766">
        <w:rPr>
          <w:rFonts w:ascii="Times New Roman" w:hAnsi="Times New Roman" w:cs="Times New Roman"/>
          <w:b/>
          <w:sz w:val="28"/>
          <w:szCs w:val="28"/>
        </w:rPr>
        <w:t>.</w:t>
      </w:r>
      <w:r w:rsidRPr="00735766">
        <w:rPr>
          <w:rFonts w:ascii="Times New Roman" w:hAnsi="Times New Roman" w:cs="Times New Roman"/>
          <w:sz w:val="28"/>
          <w:szCs w:val="28"/>
        </w:rPr>
        <w:t xml:space="preserve"> Этот элемент раскрывает идеи и намерения по мотивации развивающихся стран к разработке и реализации национальных планов достижения всех целей в области устойчивого развития. Это воздействие облекается в различные форматы международной поддержки.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i/>
          <w:sz w:val="28"/>
          <w:szCs w:val="28"/>
        </w:rPr>
        <w:t>Торговля</w:t>
      </w:r>
      <w:r w:rsidRPr="00735766">
        <w:rPr>
          <w:rFonts w:ascii="Times New Roman" w:hAnsi="Times New Roman" w:cs="Times New Roman"/>
          <w:b/>
          <w:sz w:val="28"/>
          <w:szCs w:val="28"/>
        </w:rPr>
        <w:t>.</w:t>
      </w:r>
      <w:r w:rsidRPr="00735766">
        <w:rPr>
          <w:rFonts w:ascii="Times New Roman" w:hAnsi="Times New Roman" w:cs="Times New Roman"/>
          <w:sz w:val="28"/>
          <w:szCs w:val="28"/>
        </w:rPr>
        <w:t xml:space="preserve"> Принимаются за основу правила, сформированные в рамках Всемирной торговой организации (далее – ВТО), формулируется призыв к поощрению использования этих правил и завершения спорных вопросов, сформулированных в </w:t>
      </w:r>
      <w:proofErr w:type="spellStart"/>
      <w:r w:rsidRPr="00735766">
        <w:rPr>
          <w:rFonts w:ascii="Times New Roman" w:hAnsi="Times New Roman" w:cs="Times New Roman"/>
          <w:sz w:val="28"/>
          <w:szCs w:val="28"/>
        </w:rPr>
        <w:t>Дохинском</w:t>
      </w:r>
      <w:proofErr w:type="spellEnd"/>
      <w:r w:rsidRPr="00735766">
        <w:rPr>
          <w:rFonts w:ascii="Times New Roman" w:hAnsi="Times New Roman" w:cs="Times New Roman"/>
          <w:sz w:val="28"/>
          <w:szCs w:val="28"/>
        </w:rPr>
        <w:t xml:space="preserve"> раунде переговоров в ВТО. Предполагается, что развитые страны должны предоставить возможность наименее развитым странам доступа на свои рынки, а для этого они должны в рамках ВТО разработать правила и механизмы, обеспечивающие прозрачность и преференции развивающимся странам, а также отменить квоты и пошлины в отношении доступа на национальные рынки товаров из наименее развитых стран.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b/>
          <w:i/>
          <w:sz w:val="28"/>
          <w:szCs w:val="28"/>
        </w:rPr>
        <w:t>Системные вопросы</w:t>
      </w:r>
      <w:r w:rsidRPr="00735766">
        <w:rPr>
          <w:rFonts w:ascii="Times New Roman" w:hAnsi="Times New Roman" w:cs="Times New Roman"/>
          <w:b/>
          <w:sz w:val="28"/>
          <w:szCs w:val="28"/>
        </w:rPr>
        <w:t>.</w:t>
      </w:r>
      <w:r w:rsidRPr="00735766">
        <w:rPr>
          <w:rFonts w:ascii="Times New Roman" w:hAnsi="Times New Roman" w:cs="Times New Roman"/>
          <w:sz w:val="28"/>
          <w:szCs w:val="28"/>
        </w:rPr>
        <w:t xml:space="preserve"> Группировались по трем сферам отношений.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Во-первых, формулировались задачи в части придания большей последовательности политики и деятельности учреждений, вовлеченных в процесс реализации Повестки дня.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Во-вторых, формулировались задачи по развитию и укреплению Глобального партнерства. Решение - создание новых многосторонних партнерств, и использование опыта и ресурсов партнеров.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В-третьих, формирование глобальной системы мониторинга процесса достижения ЦУР. Для выполнения этой задачи необходимо построение системы агрегирования национальных высококачественных данных. В связи с </w:t>
      </w:r>
      <w:r w:rsidRPr="00735766">
        <w:rPr>
          <w:rFonts w:ascii="Times New Roman" w:hAnsi="Times New Roman" w:cs="Times New Roman"/>
          <w:sz w:val="28"/>
          <w:szCs w:val="28"/>
        </w:rPr>
        <w:lastRenderedPageBreak/>
        <w:t xml:space="preserve">этим на национальном уровне необходима реализация активных действий по выстраиванию национальных систем сбора и обработки данных.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>Обобщая факты, изложенные выше сформулируем следующие выводы: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1) сегодня ООН сформирована институциональная структура воздействия на страны мира с целью изменения их национальных стратегий в направлении, признаваемом устойчивым;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2) сформированная институциональная структура ориентирована на активное вовлечение всех субъектов в процесс достижения ЦУР через механизм запуска технологических преобразований с целью модернизации национальных экономик на новой технологической основе – зеленая экономика;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3) анализ задач, определяющих средства осуществления Повестки дня позволяет разделить их на средства организации (планируемые организационные мероприятия) и средства финансирования (планируемые направления мобилизации финансовых ресурсов) которые демонстрируют концентрацию внимания на социальных и экологических проблемах устойчивого развития;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4) формируемая институциональная структура и определяемые организационные меры и направления мобилизации финансовых ресурсов имеют внутреннюю согласованность и направлены на достижение главной цели – трансформации существующей модели общественного развития в сторону более устойчивой за счет преобразования ключевых подсистем (социальной и экологической) и широкого внедрения новых научных и прогрессивных передовых технологий.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Выполняя договоренности в рамках ООН страны будут пересматривать и уточнять свои текущие стратегии, чтобы обеспечить достижение национальных целей развития. Ясное понимание целей и задач в этой сфере и видение ориентиров существенно облегчает задачу для правительств.</w:t>
      </w:r>
    </w:p>
    <w:p w:rsidR="00735766" w:rsidRPr="00735766" w:rsidRDefault="004840AB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b/>
          <w:sz w:val="28"/>
          <w:szCs w:val="28"/>
        </w:rPr>
        <w:t>4</w:t>
      </w:r>
      <w:r w:rsidR="00735766" w:rsidRPr="004840AB">
        <w:rPr>
          <w:rFonts w:ascii="Times New Roman" w:hAnsi="Times New Roman" w:cs="Times New Roman"/>
          <w:b/>
          <w:sz w:val="28"/>
          <w:szCs w:val="28"/>
        </w:rPr>
        <w:t>.</w:t>
      </w:r>
      <w:r w:rsidR="00735766" w:rsidRPr="00735766">
        <w:rPr>
          <w:rFonts w:ascii="Times New Roman" w:hAnsi="Times New Roman" w:cs="Times New Roman"/>
          <w:sz w:val="28"/>
          <w:szCs w:val="28"/>
        </w:rPr>
        <w:t xml:space="preserve"> </w:t>
      </w:r>
      <w:r w:rsidR="00735766" w:rsidRPr="00735766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мотивации </w:t>
      </w:r>
      <w:r w:rsidR="00735766" w:rsidRPr="00735766">
        <w:rPr>
          <w:rFonts w:ascii="Times New Roman" w:hAnsi="Times New Roman" w:cs="Times New Roman"/>
          <w:b/>
          <w:sz w:val="28"/>
          <w:szCs w:val="28"/>
        </w:rPr>
        <w:t>– дополняющие структуры</w:t>
      </w:r>
      <w:r w:rsidR="00735766" w:rsidRPr="00735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66" w:rsidRPr="00735766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 «Группа 20» сегодня воспринимается как глобальный управляющий, принявший на себя широкий спектр глобальных и транснациональных вопросов в экономической, финансовой и социальной сфере. </w:t>
      </w:r>
    </w:p>
    <w:p w:rsidR="00735766" w:rsidRPr="00735766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Многие международные организации участвуют как наблюдатели и эксперты в работе «Группы 20», в различных форматах, поэтому продвигаемые ими концепты находят отражение в работе «двадцатки», но, в свою очередь и «Группа 20» оказывает влияние на решения, принимаемые </w:t>
      </w:r>
      <w:r w:rsidRPr="00735766">
        <w:rPr>
          <w:rFonts w:ascii="Times New Roman" w:hAnsi="Times New Roman" w:cs="Times New Roman"/>
          <w:sz w:val="28"/>
          <w:szCs w:val="28"/>
        </w:rPr>
        <w:lastRenderedPageBreak/>
        <w:t>этими организациями. Поэтому так важно понимание концепта, в котором продвигается зеленая повестка в рамках «Группы 20».</w:t>
      </w:r>
    </w:p>
    <w:p w:rsidR="00735766" w:rsidRPr="004840AB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Придание высокой роли вопросу </w:t>
      </w:r>
      <w:r w:rsidRPr="004840AB">
        <w:rPr>
          <w:rFonts w:ascii="Times New Roman" w:hAnsi="Times New Roman" w:cs="Times New Roman"/>
          <w:sz w:val="28"/>
          <w:szCs w:val="28"/>
        </w:rPr>
        <w:t xml:space="preserve">финансирования перехода к зеленой экономике привело к формированию специальной рабочей группы, получившей мандат на разработку предложений для стран «Группы 20» в части совместных подходов и политик в этой области. </w:t>
      </w:r>
    </w:p>
    <w:p w:rsidR="00735766" w:rsidRPr="004840AB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Хронологически первым было создание в 2016 году </w:t>
      </w:r>
      <w:r w:rsidRPr="004840AB">
        <w:rPr>
          <w:rFonts w:ascii="Times New Roman" w:hAnsi="Times New Roman" w:cs="Times New Roman"/>
          <w:i/>
          <w:sz w:val="28"/>
          <w:szCs w:val="28"/>
        </w:rPr>
        <w:t>Исследовательской г</w:t>
      </w:r>
      <w:r w:rsidRPr="00484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руппы по зеленому финансированию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Finance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 -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GFSG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которой было поручено выявить институциональные и рыночные барьеры для зеленого финансирования. </w:t>
      </w:r>
    </w:p>
    <w:p w:rsidR="00735766" w:rsidRPr="004840AB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Мандат группы предусматривал осуществление деятельности по: </w:t>
      </w:r>
    </w:p>
    <w:p w:rsidR="00735766" w:rsidRPr="004840AB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выявлению организационных и рыночных препятствий для зеленого финансирования и </w:t>
      </w:r>
    </w:p>
    <w:p w:rsidR="00735766" w:rsidRPr="004840AB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разработке вариантов для расширения возможностей финансовой системы по мобилизации частного капитала в зеленые инвестиции, которые опирались бы на опыт стран. </w:t>
      </w:r>
    </w:p>
    <w:p w:rsidR="00735766" w:rsidRPr="004840AB" w:rsidRDefault="00735766" w:rsidP="0073576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Стратегическая цель, достижение которой обосновывало создание этой исследовательской группы, формулировалась как - обеспечение энергичного, устойчивого и сбалансированного роста. Соответственно задача, которую необходимо было решить, определялась как расширение зеленого финансирования. Были определены препятствия, на пути решения этой задачи, на момент создания исследовательской группы. По итогам первого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функционирования этой группы были предложены варианты преодоления проблем, сдерживающих расширение зеленого финансирования и подготовлены рекомендации для стран-членов «Группы 20», предлагавшиеся к принятию в добровольном порядке, для расширения зеленого финансирования. 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правительства стран должны подавать стратегические политические сигналы инвесторам, определяя рамки зеленых инвестиций, которые в том числе могут опираться на задачу достижения Целей устойчивого развития до 2030 года и выполнения Парижского соглашения;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зеленого финансирования должны продвигаться добровольно, поэтому необходимо создавать условия для совместной работы правительств стран, международных организаций и частного сектора по определению добровольных принципов для всех ключевых областей зеленого финансирования;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власти стран должны предоставлять поддержку для расширения платформ по обмену опытом, чтобы наращивать потенциал и расширять охват;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организации и банки развития должны оказывать поддержку национальным рынкам зеленых облигаций путем сбора данных, предоставления данных и наращивания потенциала;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международное сотрудничество необходимо развивать для поддержки трансграничного инвестирования в зеленые облигации;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странам необходимо обмениваться опытом по экологическим и финансовым рискам и этот процесс необходимо стимулировать и всячески ему содействовать;</w:t>
      </w:r>
    </w:p>
    <w:p w:rsidR="00735766" w:rsidRPr="004840AB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понятийную базу в области зеленого финансирования, индикаторы оценки и анализ экономического и иного воздействия зеленого финансирования необходимо совершенствовать.</w:t>
      </w:r>
    </w:p>
    <w:p w:rsidR="00735766" w:rsidRPr="00735766" w:rsidRDefault="00735766" w:rsidP="00735766">
      <w:pPr>
        <w:pStyle w:val="a3"/>
        <w:shd w:val="clear" w:color="auto" w:fill="FFFFFF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рекомендации уже в 2017 году получили д</w:t>
      </w:r>
      <w:r w:rsid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альнейшее развитие и уточнение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766">
        <w:rPr>
          <w:rFonts w:ascii="Times New Roman" w:hAnsi="Times New Roman" w:cs="Times New Roman"/>
          <w:sz w:val="28"/>
          <w:szCs w:val="28"/>
        </w:rPr>
        <w:t xml:space="preserve">В частности, деятельность GFSG в этом году была сконцентрирована на изучении </w:t>
      </w:r>
      <w:r w:rsidRPr="004840AB">
        <w:rPr>
          <w:rFonts w:ascii="Times New Roman" w:hAnsi="Times New Roman" w:cs="Times New Roman"/>
          <w:sz w:val="28"/>
          <w:szCs w:val="28"/>
        </w:rPr>
        <w:t>причин, сдерживающих мотивацию финансовых институтов</w:t>
      </w:r>
      <w:r w:rsidRPr="00735766">
        <w:rPr>
          <w:rFonts w:ascii="Times New Roman" w:hAnsi="Times New Roman" w:cs="Times New Roman"/>
          <w:sz w:val="28"/>
          <w:szCs w:val="28"/>
        </w:rPr>
        <w:t xml:space="preserve"> к принятию материальных экологических факторов в расчет при обосновании своих инвестиционных и финансовых решений. Эта проблема признавалось в качестве главной, ограничивающей зеленое финансирование, и заключалась в том, что финансовые институты неверно оценивали кратко- и долгосрочные риски, связанные с окружающей средой и поэтому не имели стимулов к принятию зеленых инвестиционных проектов.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проблемы предлагалось осуществлять одновременно по двум направлениям.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разработка и согласование методологии </w:t>
      </w:r>
      <w:r w:rsidRPr="00484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анализа рисков, связанных с окружающей средой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Environmental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risk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финансовом секторе. Анализ показал, что способности финансовой системы по мобилизации частного капитала на зеленые инвестиции снижены в силу неэффективности имеющейся системы анализа рисков окружающей среды, осуществляемой финансовыми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институтами и существенными различиями между финансовыми институтами в части их способности осуществлять </w:t>
      </w:r>
      <w:r w:rsidRPr="007357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институты могут по-разному понимать и идентифицировать природные источники финансовых рисков, а также переводить эту информацию в качественную и количественную форму для последующего применения в целях оценки потенциального уровня риска при принятии инвестиционных решений. Поэтому необходим диалог, обмен опытом и повышение информированности по вопросам </w:t>
      </w:r>
      <w:r w:rsidRPr="007357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 это формирование публично доступных данных по окружающей среде (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ublicly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r w:rsidRPr="004840A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vailable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r w:rsidRPr="004840A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nvironmental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r w:rsidRPr="004840A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) (далее – PAED), которые должны стать источником информации для проведения </w:t>
      </w:r>
      <w:r w:rsidRPr="004840AB">
        <w:rPr>
          <w:rFonts w:ascii="Times New Roman" w:hAnsi="Times New Roman" w:cs="Times New Roman"/>
          <w:i/>
          <w:sz w:val="28"/>
          <w:szCs w:val="28"/>
        </w:rPr>
        <w:t>анализа рисков</w:t>
      </w:r>
      <w:r w:rsidRPr="004840AB">
        <w:rPr>
          <w:rFonts w:ascii="Times New Roman" w:hAnsi="Times New Roman" w:cs="Times New Roman"/>
          <w:sz w:val="28"/>
          <w:szCs w:val="28"/>
        </w:rPr>
        <w:t xml:space="preserve"> и более широкого финансового анализа. Отсутствие этих данных ограничивает возможности финансовых институтов по оценке рисков, связанных с окружающей средой.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>Для преодоления трудностей</w:t>
      </w:r>
      <w:r w:rsidRPr="00735766">
        <w:rPr>
          <w:rFonts w:ascii="Times New Roman" w:hAnsi="Times New Roman" w:cs="Times New Roman"/>
          <w:sz w:val="28"/>
          <w:szCs w:val="28"/>
        </w:rPr>
        <w:t xml:space="preserve"> странам-членам «Группы 20» и их партнерам рекомендовалось: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1) активизировать обмен публичными данными и доступными методологиями как для </w:t>
      </w:r>
      <w:r w:rsidRPr="00735766">
        <w:rPr>
          <w:rFonts w:ascii="Times New Roman" w:hAnsi="Times New Roman" w:cs="Times New Roman"/>
          <w:i/>
          <w:sz w:val="28"/>
          <w:szCs w:val="28"/>
        </w:rPr>
        <w:t>анализа рисков</w:t>
      </w:r>
      <w:r w:rsidRPr="00735766">
        <w:rPr>
          <w:rFonts w:ascii="Times New Roman" w:hAnsi="Times New Roman" w:cs="Times New Roman"/>
          <w:sz w:val="28"/>
          <w:szCs w:val="28"/>
        </w:rPr>
        <w:t xml:space="preserve">, так и для количественной оценки экологических издержек и выгод;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 xml:space="preserve">2) стимулировать работу правительств для поддержки усилий частного сектора по улучшению качества и удобства данных;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66">
        <w:rPr>
          <w:rFonts w:ascii="Times New Roman" w:hAnsi="Times New Roman" w:cs="Times New Roman"/>
          <w:sz w:val="28"/>
          <w:szCs w:val="28"/>
        </w:rPr>
        <w:t>3) поддержать работу международных организаций по формированию и развитию каталога данных с акцентом на использование формируемой базы данных для целей анализа финансовых рисков.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глобальных процессов в области продвижения концепции переформатирования традиционной модели на принципы зеленой экономики, обосновывающей задачу поиска источников устойчивого финансирования, привело к тому, что в 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компетенция Исследовательской группы по зеленому финансированию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расширена для рассмотрения дополнительных аспектов устойчивого развития, и группа была переименована в </w:t>
      </w:r>
      <w:r w:rsidRPr="00484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Исследовательскую группу по устойчивому финансированию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Sustainable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Finance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SFSG).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развития фокус внимания группы смещается в сторону формирования условий для сильного, стабильного, сбалансированного и всестороннего роста, но уже на основе прямой и косвенной поддержки целей устойчивого развития, поэтому зеленое финансирование трансформируется в более широкую концепцию устойчивого финансирования. Главной задачей признается разработка решений, позволяющих обеспечить вовлечение частного сектора в финансирование устойчивого развития на добровольной основе. Решение этой задачи предполагается на основе создания условий (добровольных опций), стимулирующих частных инвесторов.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табл. на слайде 10 представлено краткое описание ключевых идей и решений, определивших работу 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SFSG</w:t>
      </w: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</w:t>
      </w:r>
      <w:r w:rsidRPr="00735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2018 года эта группа была расформирована.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2021 году Министры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 и управляющие центральными банками возобновили работу </w:t>
      </w:r>
      <w:r w:rsidRPr="00484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SFSG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переименовали ее в </w:t>
      </w:r>
      <w:r w:rsidRPr="00484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Рабочую группу по устойчивому финансированию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A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840AB">
        <w:rPr>
          <w:rFonts w:ascii="Times New Roman" w:hAnsi="Times New Roman" w:cs="Times New Roman"/>
          <w:sz w:val="28"/>
          <w:szCs w:val="28"/>
        </w:rPr>
        <w:t>) (далее – SFWG)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 работы группы осталась прежней – увеличение объемов устойчивого финансирования, обеспечивающего достижение целей Повестки дня ООН в области устойчивого финансирования до 2030 года и Парижского соглашения. Не претерпела существенного изменения и задача – обеспечить рост масштабов финансирования проектов устойчивого развития, но она была развита за счет включения дополнительных характеристик проектов устойчивого финансирования на которые осуществлялась мобилизация ресурсов.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достижением </w:t>
      </w:r>
      <w:r w:rsidRPr="004840AB">
        <w:rPr>
          <w:rFonts w:ascii="Times New Roman" w:hAnsi="Times New Roman" w:cs="Times New Roman"/>
          <w:sz w:val="28"/>
          <w:szCs w:val="28"/>
        </w:rPr>
        <w:t>SFWG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подготовка </w:t>
      </w:r>
      <w:r w:rsidRPr="004840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Дорожной карты устойчивого финансирования «Группы 20»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документ был разработан с целью решения следующих трех задач.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уточнение областей в которых на текущий момент приоритеты устойчивого финансирования «Группы 20» а) не реализуются в полной мере, б) недостаточны, в) реализуются недавно и поэтому требуют повышенного внимания. К ним на текущий момент отнесены: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улучшение понимания и оказание поддержки расширению рынков финансирования справедливого климатического перехода;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рынков устойчивого финансирования и подходов к выделению и распределению инвестиций на выполнение условий Парижского соглашения и достижение целей устойчивого развития;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и изучение политических рычагов, которые могут быть использованы для стимулирования частного капитала к участию в устойчивых инвестициях.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с целью расширения возможностей по управлению, поддержке и координации усилий стран-членов при работе на различных площадках. На текущий момент в рамках других форматов </w:t>
      </w:r>
      <w:r w:rsidRPr="004840AB">
        <w:rPr>
          <w:rFonts w:ascii="Times New Roman" w:hAnsi="Times New Roman" w:cs="Times New Roman"/>
          <w:sz w:val="28"/>
          <w:szCs w:val="28"/>
        </w:rPr>
        <w:t>SFWG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реализуется и координируется работа по: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составлению отчетности в области устойчивого развития и получения соответствующих данных и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управлению финансовыми рисками устойчивого развития.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донесение до широкого круга лиц информации о приоритетах устойчивого финансирования «Группы 20» с целью оказания влияния на осуществляемые ими действия.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итоге с помощью Дорожной карты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устойчивого финансирования «Группы 20» была сформирована полноценная программа действий и система институтов и инструментов влияния на страны-члены </w:t>
      </w:r>
      <w:r w:rsidRPr="004840AB">
        <w:rPr>
          <w:rFonts w:ascii="Times New Roman" w:hAnsi="Times New Roman" w:cs="Times New Roman"/>
          <w:sz w:val="28"/>
          <w:szCs w:val="28"/>
        </w:rPr>
        <w:t>группы и страны в нее не вошедшие, цель которых – обеспечить переток финансовых ресурсов в секторы экономики, признаваемые устойчивыми исходя из концепций и представлений, получивших распространение в реалиях текущего времени.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hAnsi="Times New Roman" w:cs="Times New Roman"/>
          <w:sz w:val="28"/>
          <w:szCs w:val="28"/>
        </w:rPr>
        <w:t xml:space="preserve">Официально декларируемая цель, на достижение которой направлен этот документ, – предоставление странам добровольных вариантов согласования финансирования и политики в области устойчивого развития. Но, мероприятия, составляющие приоритетные направления, призваны создать такие условия для функционирования финансовых систем стран, при которых становится невозможным принятие финансовых решений, не учитывающих аспекты устойчивого развития.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прошедшие с момента образования </w:t>
      </w:r>
      <w:r w:rsidRPr="00735766">
        <w:rPr>
          <w:rFonts w:ascii="Times New Roman" w:hAnsi="Times New Roman" w:cs="Times New Roman"/>
          <w:sz w:val="28"/>
          <w:szCs w:val="28"/>
        </w:rPr>
        <w:t xml:space="preserve">SFWG три года в периметр активной деятельности группы входили различные </w:t>
      </w:r>
      <w:r w:rsidR="004840AB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Pr="00735766">
        <w:rPr>
          <w:rFonts w:ascii="Times New Roman" w:hAnsi="Times New Roman" w:cs="Times New Roman"/>
          <w:sz w:val="28"/>
          <w:szCs w:val="28"/>
        </w:rPr>
        <w:t xml:space="preserve">. Здесь следует отметить, что каждая страна-председатель выделяла собственные три направления деятельности SFWG, которые определялись как приоритетные в году, в котором страна является председателем. Поэтому и смещается вектор в работе </w:t>
      </w:r>
      <w:r w:rsidRPr="00735766">
        <w:rPr>
          <w:rFonts w:ascii="Times New Roman" w:hAnsi="Times New Roman" w:cs="Times New Roman"/>
          <w:sz w:val="28"/>
          <w:szCs w:val="28"/>
          <w:lang w:val="en-US"/>
        </w:rPr>
        <w:t>SFWG</w:t>
      </w:r>
      <w:r w:rsidRPr="0073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Италии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председательствующей в 2021 году, решало в это время сложную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поиска новой модели развития национальной экономики, в ситуации, отягощенной пандемией и разрушением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правил функционирования экономики. Тема устойчивого финансирования преломлялась через проблематику создания более четких рамок для идентификации и поддержки финансирования, связанного с устойчивым развитием и расширения критериев от климатической повестки к более полному учету всех показателей устойчивого развития.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Республики Индонезия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в 2022 году председательствовала в </w:t>
      </w:r>
      <w:r w:rsidRPr="00735766">
        <w:rPr>
          <w:rFonts w:ascii="Times New Roman" w:hAnsi="Times New Roman" w:cs="Times New Roman"/>
          <w:sz w:val="28"/>
          <w:szCs w:val="28"/>
        </w:rPr>
        <w:t>«Группе 20»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среди многих аспектов этой темы выделила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адекватного и эффективного финансирования.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Индонезия внесла вклад в решение этой проблемы разработав Рамочную программу финансирования переходного периода «Группы 20»</w:t>
      </w:r>
      <w:r w:rsidRPr="00735766">
        <w:rPr>
          <w:rFonts w:ascii="Times New Roman" w:hAnsi="Times New Roman" w:cs="Times New Roman"/>
          <w:sz w:val="28"/>
          <w:szCs w:val="28"/>
        </w:rPr>
        <w:t xml:space="preserve"> и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сконцентрировала внимание на вопросах разработки основ переходного финансирования, чтобы разработать рамочное регулирование и предложить его странам-членам форума для учета при разработке внутренних вопросов финансирования энергоперехода.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Индия, вступившая на пост председателя</w:t>
      </w: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20» в 2023 году, в качестве значимой 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выделила проблему нехватки знаний и квалифицированных специалистов в области устойчивого финансирования на всех уровнях экономики. По этой причине ограничивается функционирование и снижается эффективность частных финансовых рынков, особенно в развивающихся странах.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этой проблемы предлагается через оказание технической помощи развивающимся странам, а значение, придаваемое решению этой проблемы, привело к выделению ее в числе приоритетных направлений деятельности </w:t>
      </w:r>
      <w:r w:rsidRPr="004840AB">
        <w:rPr>
          <w:rFonts w:ascii="Times New Roman" w:hAnsi="Times New Roman" w:cs="Times New Roman"/>
          <w:sz w:val="28"/>
          <w:szCs w:val="28"/>
        </w:rPr>
        <w:t>SFWG на 2023 год</w:t>
      </w: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разработан</w:t>
      </w:r>
      <w:r w:rsidRPr="004840AB">
        <w:rPr>
          <w:rFonts w:ascii="Times New Roman" w:hAnsi="Times New Roman" w:cs="Times New Roman"/>
          <w:sz w:val="28"/>
          <w:szCs w:val="28"/>
        </w:rPr>
        <w:t xml:space="preserve"> </w:t>
      </w:r>
      <w:r w:rsidRPr="004840AB">
        <w:rPr>
          <w:rFonts w:ascii="Times New Roman" w:hAnsi="Times New Roman" w:cs="Times New Roman"/>
          <w:i/>
          <w:sz w:val="28"/>
          <w:szCs w:val="28"/>
        </w:rPr>
        <w:t>План действий по оказанию технической помощи в области устойчивого финансирования</w:t>
      </w:r>
      <w:r w:rsidRPr="004840AB">
        <w:rPr>
          <w:rFonts w:ascii="Times New Roman" w:hAnsi="Times New Roman" w:cs="Times New Roman"/>
          <w:sz w:val="28"/>
          <w:szCs w:val="28"/>
        </w:rPr>
        <w:t>, он предлагает развивающимся странам помощь в реализации местных версий политики финансирования переходного периода.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Декларация лидеров, принятая в сентябре 2023 года, подтвердила решимость стран-членов «Группы 20» продвигаться дальше в направлении устойчивого развития. 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Завершая анализ отметим, что несмотря на наблюдаемое смещение приоритетов в формировании источников финансирования зеленого перехода (от государственного финансирования к частному, с акцентом на долговой рынок), в целом общий тренд на формирование активной политики в области финансирования перехода к модели зеленой экономики, остается неизменным.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hAnsi="Times New Roman" w:cs="Times New Roman"/>
          <w:sz w:val="28"/>
          <w:szCs w:val="28"/>
        </w:rPr>
        <w:t>Уточняются детали, расширяется охват применяемых мер политик. Зеленая экономика представлена в качестве финального состояния, которого страны должны достичь в конце пути построения устойчивого общества, движение к которому требует прохождения промежуточных этапов, обозначенных как переходный период и имеющий специфичные правила организации финансирования, которым сегодня уделяется пристальное внимание.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случае успешной реализации Дорожной карты устойчивого финансирования, выстроенная новая система регулирования финансовых потоков создаст барьеры на пути инвестиций, связанных с проектами, не соответствующими устойчивому развитию. </w:t>
      </w:r>
    </w:p>
    <w:p w:rsidR="00735766" w:rsidRPr="004840AB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Ключевой вывод заключается в том, что необходимо изучать решений, принимаемых в рамках </w:t>
      </w:r>
      <w:r w:rsidRPr="00735766">
        <w:rPr>
          <w:rFonts w:ascii="Times New Roman" w:hAnsi="Times New Roman" w:cs="Times New Roman"/>
          <w:sz w:val="28"/>
          <w:szCs w:val="28"/>
        </w:rPr>
        <w:t xml:space="preserve">глобальных площадок поскольку, используя декларируемый </w:t>
      </w:r>
      <w:r w:rsidRPr="004840AB">
        <w:rPr>
          <w:rFonts w:ascii="Times New Roman" w:hAnsi="Times New Roman" w:cs="Times New Roman"/>
          <w:sz w:val="28"/>
          <w:szCs w:val="28"/>
        </w:rPr>
        <w:t xml:space="preserve">принцип добровольности принятия предлагаемых мер и политик и отказ от универсальности предлагаемых решений, с глобального </w:t>
      </w:r>
      <w:r w:rsidRPr="004840AB">
        <w:rPr>
          <w:rFonts w:ascii="Times New Roman" w:hAnsi="Times New Roman" w:cs="Times New Roman"/>
          <w:sz w:val="28"/>
          <w:szCs w:val="28"/>
        </w:rPr>
        <w:lastRenderedPageBreak/>
        <w:t>уровня странам предлагается возможность разработать национальные версии модели финансирования устойчивого развития, адаптируя предлагаемые глобальные варианты решений под индивидуальные особенности страны.</w:t>
      </w:r>
    </w:p>
    <w:p w:rsidR="00735766" w:rsidRPr="00735766" w:rsidRDefault="00735766" w:rsidP="0073576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В конечном итоге странам необходимо найти свой собственный ответ на следующие вопросы:</w:t>
      </w:r>
    </w:p>
    <w:p w:rsidR="00735766" w:rsidRPr="00735766" w:rsidRDefault="00735766" w:rsidP="00735766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На решение каких проблем социально-экономического развития страны планируется направить потенциал зеленой экономики?</w:t>
      </w:r>
    </w:p>
    <w:p w:rsidR="00735766" w:rsidRPr="00735766" w:rsidRDefault="00735766" w:rsidP="00735766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Какие инструменты долгового финансирования вызывают наибольший интерес?</w:t>
      </w:r>
    </w:p>
    <w:p w:rsidR="00735766" w:rsidRPr="00735766" w:rsidRDefault="00735766" w:rsidP="00735766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Какая роль определена для бюджетного финансирования (субсидии, гарантии, прямые расходы бюджета) и мер государственной поддержки (налоги, административные меры, инфраструктура) зеленых инвестиционных проектов?</w:t>
      </w:r>
    </w:p>
    <w:p w:rsidR="00735766" w:rsidRPr="00735766" w:rsidRDefault="00735766" w:rsidP="00735766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Какой вектор политики вызывает больший интерес: стимулируем спрос или стимулируем предложение зеленого финансирования?</w:t>
      </w:r>
    </w:p>
    <w:p w:rsidR="00735766" w:rsidRPr="00735766" w:rsidRDefault="00735766" w:rsidP="00735766">
      <w:pPr>
        <w:pStyle w:val="a3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Какие источники финансирования зеленых инвестиций в приоритете?</w:t>
      </w:r>
    </w:p>
    <w:p w:rsidR="00735766" w:rsidRPr="00735766" w:rsidRDefault="00735766" w:rsidP="00735766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66">
        <w:rPr>
          <w:rFonts w:ascii="Times New Roman" w:hAnsi="Times New Roman" w:cs="Times New Roman"/>
          <w:sz w:val="28"/>
          <w:szCs w:val="28"/>
        </w:rPr>
        <w:t>В связи с этим методики и алгоритмы, разрабатываемые в рамках деятельности ООН и «Группы 20» представляют возможность для стран, опереться на серьезный теоретически</w:t>
      </w:r>
      <w:bookmarkStart w:id="0" w:name="_GoBack"/>
      <w:bookmarkEnd w:id="0"/>
      <w:r w:rsidRPr="00735766">
        <w:rPr>
          <w:rFonts w:ascii="Times New Roman" w:hAnsi="Times New Roman" w:cs="Times New Roman"/>
          <w:sz w:val="28"/>
          <w:szCs w:val="28"/>
        </w:rPr>
        <w:t xml:space="preserve">й фундамент и богатый практический опыт для разработки собственной политики в области построения новой устойчивой модели национальной экономики и финансирования перехода к этой модели. </w:t>
      </w:r>
    </w:p>
    <w:p w:rsidR="00735766" w:rsidRPr="00BD109D" w:rsidRDefault="00735766" w:rsidP="00735766">
      <w:pPr>
        <w:jc w:val="both"/>
        <w:rPr>
          <w:rFonts w:asciiTheme="majorBidi" w:eastAsia="Times New Roman" w:hAnsiTheme="majorBidi"/>
          <w:lang w:eastAsia="ru-RU"/>
        </w:rPr>
      </w:pPr>
    </w:p>
    <w:p w:rsidR="00735766" w:rsidRPr="00735766" w:rsidRDefault="00735766" w:rsidP="00735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766" w:rsidRPr="00735766" w:rsidSect="007357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521"/>
    <w:multiLevelType w:val="hybridMultilevel"/>
    <w:tmpl w:val="C7FED054"/>
    <w:lvl w:ilvl="0" w:tplc="5C105A1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C083F"/>
    <w:multiLevelType w:val="hybridMultilevel"/>
    <w:tmpl w:val="FFD2AE18"/>
    <w:lvl w:ilvl="0" w:tplc="805E3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BE"/>
    <w:rsid w:val="003738BE"/>
    <w:rsid w:val="004840AB"/>
    <w:rsid w:val="006D4A76"/>
    <w:rsid w:val="00735766"/>
    <w:rsid w:val="009348A3"/>
    <w:rsid w:val="00D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0419-1412-4319-8F7F-21988F6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_п,Абзац списка4,EOD Bullets,Colorful List - Accent 11,Bullets,Evidence on Demand bullet points,CEIL PEAKS bullet points,Scriptoria bullet points,Dot pt,No Spacing1,List Paragraph Char Char Char,Indicator Text,List Paragraph1"/>
    <w:basedOn w:val="a"/>
    <w:link w:val="a4"/>
    <w:uiPriority w:val="34"/>
    <w:qFormat/>
    <w:rsid w:val="0073576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Абзац списка_п Знак,Абзац списка4 Знак,EOD Bullets Знак,Colorful List - Accent 11 Знак,Bullets Знак,Evidence on Demand bullet points Знак,CEIL PEAKS bullet points Знак,Scriptoria bullet points Знак,Dot pt Знак,No Spacing1 Знак"/>
    <w:link w:val="a3"/>
    <w:uiPriority w:val="34"/>
    <w:qFormat/>
    <w:rsid w:val="00735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31825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</dc:creator>
  <cp:keywords/>
  <dc:description/>
  <cp:lastModifiedBy>Пользователь Microsoft</cp:lastModifiedBy>
  <cp:revision>3</cp:revision>
  <dcterms:created xsi:type="dcterms:W3CDTF">2023-10-12T10:37:00Z</dcterms:created>
  <dcterms:modified xsi:type="dcterms:W3CDTF">2023-10-12T11:06:00Z</dcterms:modified>
</cp:coreProperties>
</file>