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ВНЕДРЕНИЕ ЦИФРОВОГО РУБЛЯ В ЭКОНОМИЧЕСКУЮ СИСТЕМУ РФ</w:t>
      </w:r>
      <w:r w:rsidDel="00000000" w:rsidR="00000000" w:rsidRPr="00000000">
        <w:rPr>
          <w:rtl w:val="0"/>
        </w:rPr>
      </w:r>
    </w:p>
    <w:p w:rsidR="00000000" w:rsidDel="00000000" w:rsidP="00000000" w:rsidRDefault="00000000" w:rsidRPr="00000000" w14:paraId="00000002">
      <w:pPr>
        <w:spacing w:line="360" w:lineRule="auto"/>
        <w:ind w:firstLine="708.6614173228347"/>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spacing w:line="360" w:lineRule="auto"/>
        <w:ind w:firstLine="708.6614173228347"/>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КОЛОМЫЙЦЕВ М.О.</w:t>
      </w:r>
    </w:p>
    <w:p w:rsidR="00000000" w:rsidDel="00000000" w:rsidP="00000000" w:rsidRDefault="00000000" w:rsidRPr="00000000" w14:paraId="00000004">
      <w:pPr>
        <w:spacing w:line="360" w:lineRule="auto"/>
        <w:ind w:firstLine="708.6614173228347"/>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Россия, Санкт-Петербург, Международный банковский институт имени Анатолия Собчака</w:t>
      </w:r>
    </w:p>
    <w:p w:rsidR="00000000" w:rsidDel="00000000" w:rsidP="00000000" w:rsidRDefault="00000000" w:rsidRPr="00000000" w14:paraId="00000005">
      <w:pPr>
        <w:spacing w:before="24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Аннотация: </w:t>
      </w:r>
      <w:r w:rsidDel="00000000" w:rsidR="00000000" w:rsidRPr="00000000">
        <w:rPr>
          <w:rFonts w:ascii="Times New Roman" w:cs="Times New Roman" w:eastAsia="Times New Roman" w:hAnsi="Times New Roman"/>
          <w:sz w:val="28"/>
          <w:szCs w:val="28"/>
          <w:rtl w:val="0"/>
        </w:rPr>
        <w:t xml:space="preserve">В данной презентации рассмотрены актуальные тенденции в сфере цифровых валют центральных банков. Целью исследования является изучение перспектив развития цифрового рубля с учетом правовых, налоговых, рыночных и технологических аспектов</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6">
      <w:pPr>
        <w:spacing w:before="240" w:line="240" w:lineRule="auto"/>
        <w:ind w:firstLine="72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7">
      <w:pPr>
        <w:spacing w:before="24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Ключевые слова: </w:t>
      </w:r>
      <w:r w:rsidDel="00000000" w:rsidR="00000000" w:rsidRPr="00000000">
        <w:rPr>
          <w:rFonts w:ascii="Times New Roman" w:cs="Times New Roman" w:eastAsia="Times New Roman" w:hAnsi="Times New Roman"/>
          <w:sz w:val="28"/>
          <w:szCs w:val="28"/>
          <w:rtl w:val="0"/>
        </w:rPr>
        <w:t xml:space="preserve">Цифровой рубль, Цифровая валюта центального банка, Блокчейн, Финансовые технологии, Цифровизация экономики, Токенизированные финансовые инструменты.</w:t>
      </w:r>
    </w:p>
    <w:p w:rsidR="00000000" w:rsidDel="00000000" w:rsidP="00000000" w:rsidRDefault="00000000" w:rsidRPr="00000000" w14:paraId="00000008">
      <w:pPr>
        <w:spacing w:before="240" w:line="360" w:lineRule="auto"/>
        <w:ind w:firstLine="72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9">
      <w:pPr>
        <w:spacing w:before="240" w:line="360" w:lineRule="auto"/>
        <w:ind w:firstLine="72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INTRODUCTION OF THE DIGITAL RUBLE INTO THE RUSSIAN ECONOMIC SYSTEM</w:t>
      </w:r>
    </w:p>
    <w:p w:rsidR="00000000" w:rsidDel="00000000" w:rsidP="00000000" w:rsidRDefault="00000000" w:rsidRPr="00000000" w14:paraId="0000000A">
      <w:pPr>
        <w:spacing w:before="240" w:line="360" w:lineRule="auto"/>
        <w:ind w:firstLine="72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KOLOMYYTSEV M.O</w:t>
      </w:r>
    </w:p>
    <w:p w:rsidR="00000000" w:rsidDel="00000000" w:rsidP="00000000" w:rsidRDefault="00000000" w:rsidRPr="00000000" w14:paraId="0000000B">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Russian Federation, Saint-Petersburg </w:t>
      </w:r>
    </w:p>
    <w:p w:rsidR="00000000" w:rsidDel="00000000" w:rsidP="00000000" w:rsidRDefault="00000000" w:rsidRPr="00000000" w14:paraId="0000000C">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International Banking Institute named after Anatoliy Sobchak</w:t>
      </w:r>
    </w:p>
    <w:p w:rsidR="00000000" w:rsidDel="00000000" w:rsidP="00000000" w:rsidRDefault="00000000" w:rsidRPr="00000000" w14:paraId="0000000D">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E">
      <w:pPr>
        <w:spacing w:before="24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Abstract: </w:t>
      </w:r>
      <w:r w:rsidDel="00000000" w:rsidR="00000000" w:rsidRPr="00000000">
        <w:rPr>
          <w:rFonts w:ascii="Times New Roman" w:cs="Times New Roman" w:eastAsia="Times New Roman" w:hAnsi="Times New Roman"/>
          <w:sz w:val="28"/>
          <w:szCs w:val="28"/>
          <w:rtl w:val="0"/>
        </w:rPr>
        <w:t xml:space="preserve">This presentation examines current trends in central bank digital currencies. The purpose of the study is to study the prospects for the development of the digital ruble, taking into account legal, tax, market and technological aspects..</w:t>
      </w:r>
    </w:p>
    <w:p w:rsidR="00000000" w:rsidDel="00000000" w:rsidP="00000000" w:rsidRDefault="00000000" w:rsidRPr="00000000" w14:paraId="0000000F">
      <w:pPr>
        <w:spacing w:before="24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Keywords:</w:t>
      </w:r>
      <w:r w:rsidDel="00000000" w:rsidR="00000000" w:rsidRPr="00000000">
        <w:rPr>
          <w:rFonts w:ascii="Times New Roman" w:cs="Times New Roman" w:eastAsia="Times New Roman" w:hAnsi="Times New Roman"/>
          <w:sz w:val="28"/>
          <w:szCs w:val="28"/>
          <w:rtl w:val="0"/>
        </w:rPr>
        <w:t xml:space="preserve"> Digital ruble, Central Bank Digital Currency, CBDC, Blockchain, Financial technologies, Digitalization of the economy, Tokenized financial instruments..</w:t>
      </w:r>
    </w:p>
    <w:p w:rsidR="00000000" w:rsidDel="00000000" w:rsidP="00000000" w:rsidRDefault="00000000" w:rsidRPr="00000000" w14:paraId="00000010">
      <w:pPr>
        <w:spacing w:before="240" w:line="24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1">
      <w:pPr>
        <w:spacing w:line="360" w:lineRule="auto"/>
        <w:ind w:firstLine="708.661417322834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В нашем исследовании предпринята попытка проанализировать возможности и риски от внедрения цифрового рубля в экономическую систему Российской Федерации. </w:t>
      </w:r>
      <w:r w:rsidDel="00000000" w:rsidR="00000000" w:rsidRPr="00000000">
        <w:rPr>
          <w:rtl w:val="0"/>
        </w:rPr>
      </w:r>
    </w:p>
    <w:p w:rsidR="00000000" w:rsidDel="00000000" w:rsidP="00000000" w:rsidRDefault="00000000" w:rsidRPr="00000000" w14:paraId="00000012">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Актуальность исследования - </w:t>
      </w:r>
      <w:r w:rsidDel="00000000" w:rsidR="00000000" w:rsidRPr="00000000">
        <w:rPr>
          <w:rFonts w:ascii="Times New Roman" w:cs="Times New Roman" w:eastAsia="Times New Roman" w:hAnsi="Times New Roman"/>
          <w:sz w:val="28"/>
          <w:szCs w:val="28"/>
          <w:rtl w:val="0"/>
        </w:rPr>
        <w:t xml:space="preserve">глобальное развитие цифровых сервисов практически во всех сферах деятельности, включая  финансовый сектор. Подобное развитие открывает большие перспективы и обуславливает актуальность появления не только нового программного обеспечения и сервисов, но и в сфере цифровых валют, которые открывают возможность использования новой формы денег. Объектом нашего исследования является цифровая валюта Банка России - Цифровой рубль, который получил правовой статус в России в 2023 году (Федеральные законы №339-ФЗ от 24.07.2023 и №340-ФЗ от 24.07.2023).</w:t>
      </w:r>
    </w:p>
    <w:p w:rsidR="00000000" w:rsidDel="00000000" w:rsidP="00000000" w:rsidRDefault="00000000" w:rsidRPr="00000000" w14:paraId="00000013">
      <w:pPr>
        <w:spacing w:line="360" w:lineRule="auto"/>
        <w:ind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Согласно ФЗ №339-ФЗ от 24.07.2023 и №340-ФЗ от 24.07.2023  Цифровой рубль </w:t>
      </w:r>
      <w:r w:rsidDel="00000000" w:rsidR="00000000" w:rsidRPr="00000000">
        <w:rPr>
          <w:rFonts w:ascii="Times New Roman" w:cs="Times New Roman" w:eastAsia="Times New Roman" w:hAnsi="Times New Roman"/>
          <w:sz w:val="28"/>
          <w:szCs w:val="28"/>
          <w:rtl w:val="0"/>
        </w:rPr>
        <w:t xml:space="preserve">дополнительной формой национальной валюты, которая эмитирована Центральным банком в цифровом виде и сочетает в себе свойства наличных и безналичных рублей. Все три формы национальной валюты равны друг другу - </w:t>
      </w:r>
      <w:r w:rsidDel="00000000" w:rsidR="00000000" w:rsidRPr="00000000">
        <w:rPr>
          <w:rFonts w:ascii="Times New Roman" w:cs="Times New Roman" w:eastAsia="Times New Roman" w:hAnsi="Times New Roman"/>
          <w:sz w:val="28"/>
          <w:szCs w:val="28"/>
          <w:rtl w:val="0"/>
        </w:rPr>
        <w:t xml:space="preserve">один наличный рубль равен одному безналичному, а также одному цифровому рублю.</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Оператором платформы Цифрового рубля, где будут открываться цифровые кошельки физических и юридических лиц, является Банк России, который также обеспечивает эмиссию Цифровых рублей</w:t>
      </w:r>
      <w:r w:rsidDel="00000000" w:rsidR="00000000" w:rsidRPr="00000000">
        <w:rPr>
          <w:rFonts w:ascii="Times New Roman" w:cs="Times New Roman" w:eastAsia="Times New Roman" w:hAnsi="Times New Roman"/>
          <w:sz w:val="28"/>
          <w:szCs w:val="28"/>
          <w:rtl w:val="0"/>
        </w:rPr>
        <w:t xml:space="preserve">. Каждому физическому или юридическому лицу может быть открыт только один кошелек.  За распространение и обеспечение оборота Цифровых рублей отвечают финансовые организации, которые выступают в качестве посредников - ц</w:t>
      </w:r>
      <w:r w:rsidDel="00000000" w:rsidR="00000000" w:rsidRPr="00000000">
        <w:rPr>
          <w:rFonts w:ascii="Times New Roman" w:cs="Times New Roman" w:eastAsia="Times New Roman" w:hAnsi="Times New Roman"/>
          <w:sz w:val="28"/>
          <w:szCs w:val="28"/>
          <w:rtl w:val="0"/>
        </w:rPr>
        <w:t xml:space="preserve">ифровые кошельки клиентов размещаются исключительно на платформе цифрового рубля и не отражаются на балансе финансовых организаций.</w:t>
      </w:r>
      <w:r w:rsidDel="00000000" w:rsidR="00000000" w:rsidRPr="00000000">
        <w:rPr>
          <w:rtl w:val="0"/>
        </w:rPr>
      </w:r>
    </w:p>
    <w:p w:rsidR="00000000" w:rsidDel="00000000" w:rsidP="00000000" w:rsidRDefault="00000000" w:rsidRPr="00000000" w14:paraId="00000014">
      <w:pPr>
        <w:spacing w:line="360" w:lineRule="auto"/>
        <w:ind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Таким образом, </w:t>
      </w:r>
      <w:r w:rsidDel="00000000" w:rsidR="00000000" w:rsidRPr="00000000">
        <w:rPr>
          <w:rFonts w:ascii="Times New Roman" w:cs="Times New Roman" w:eastAsia="Times New Roman" w:hAnsi="Times New Roman"/>
          <w:b w:val="1"/>
          <w:sz w:val="28"/>
          <w:szCs w:val="28"/>
          <w:highlight w:val="white"/>
          <w:rtl w:val="0"/>
        </w:rPr>
        <w:t xml:space="preserve">целью исследования </w:t>
      </w:r>
      <w:r w:rsidDel="00000000" w:rsidR="00000000" w:rsidRPr="00000000">
        <w:rPr>
          <w:rFonts w:ascii="Times New Roman" w:cs="Times New Roman" w:eastAsia="Times New Roman" w:hAnsi="Times New Roman"/>
          <w:sz w:val="28"/>
          <w:szCs w:val="28"/>
          <w:highlight w:val="white"/>
          <w:rtl w:val="0"/>
        </w:rPr>
        <w:t xml:space="preserve">является изучение возможностей и перспектив внедрения Цифрового рубля в экономическую систему государства с учетом правовых, налоговых, рыночных и технологических аспектов. </w:t>
      </w:r>
    </w:p>
    <w:p w:rsidR="00000000" w:rsidDel="00000000" w:rsidP="00000000" w:rsidRDefault="00000000" w:rsidRPr="00000000" w14:paraId="00000015">
      <w:pPr>
        <w:spacing w:line="360" w:lineRule="auto"/>
        <w:ind w:firstLine="708.6614173228347"/>
        <w:jc w:val="both"/>
        <w:rPr>
          <w:rFonts w:ascii="Times New Roman" w:cs="Times New Roman" w:eastAsia="Times New Roman" w:hAnsi="Times New Roman"/>
          <w:sz w:val="28"/>
          <w:szCs w:val="28"/>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q0bRpTaZi8Nu/zLhI9jMZd4XlA==">CgMxLjA4AHIhMV8tcDcwQUcyczlCZFRaNmVoZnpzclo1YjhKVjduUDBQ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