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9511" w14:textId="77777777" w:rsidR="00C71880" w:rsidRDefault="00C71880" w:rsidP="000F30C1">
      <w:pPr>
        <w:spacing w:line="288" w:lineRule="auto"/>
        <w:ind w:firstLine="709"/>
        <w:contextualSpacing/>
        <w:jc w:val="both"/>
        <w:rPr>
          <w:rFonts w:ascii="Times New Roman" w:hAnsi="Times New Roman" w:cs="Times New Roman"/>
          <w:sz w:val="28"/>
          <w:szCs w:val="28"/>
        </w:rPr>
      </w:pPr>
      <w:r w:rsidRPr="00C71880">
        <w:rPr>
          <w:rFonts w:ascii="Times New Roman" w:hAnsi="Times New Roman" w:cs="Times New Roman"/>
          <w:sz w:val="28"/>
          <w:szCs w:val="28"/>
        </w:rPr>
        <w:t xml:space="preserve">УДК: 11.11.1 </w:t>
      </w:r>
    </w:p>
    <w:p w14:paraId="3E815A14" w14:textId="0E4BA5F5" w:rsidR="00C71880" w:rsidRDefault="00C71880" w:rsidP="000F30C1">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Макарова О.А.</w:t>
      </w:r>
    </w:p>
    <w:p w14:paraId="00A54A70" w14:textId="6ACBA04B" w:rsidR="00C71880" w:rsidRDefault="00C71880" w:rsidP="000F30C1">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Студентка группы 46ИС-23</w:t>
      </w:r>
    </w:p>
    <w:p w14:paraId="35CAC546" w14:textId="2EF824B7" w:rsidR="00C71880" w:rsidRDefault="00C71880" w:rsidP="000F30C1">
      <w:pPr>
        <w:spacing w:line="288" w:lineRule="auto"/>
        <w:ind w:firstLine="709"/>
        <w:contextualSpacing/>
        <w:jc w:val="both"/>
        <w:rPr>
          <w:rFonts w:ascii="Times New Roman" w:hAnsi="Times New Roman" w:cs="Times New Roman"/>
          <w:sz w:val="28"/>
          <w:szCs w:val="28"/>
        </w:rPr>
      </w:pPr>
      <w:r w:rsidRPr="00C71880">
        <w:rPr>
          <w:rFonts w:ascii="Times New Roman" w:hAnsi="Times New Roman" w:cs="Times New Roman"/>
          <w:sz w:val="28"/>
          <w:szCs w:val="28"/>
        </w:rPr>
        <w:t>Российская Федерация, Санкт-Петербург Международный банковский институт имени Анатолия Собчака</w:t>
      </w:r>
    </w:p>
    <w:p w14:paraId="165BAFAF" w14:textId="77777777" w:rsidR="00C71880" w:rsidRPr="00671E0B" w:rsidRDefault="002433DB" w:rsidP="00854F91">
      <w:pPr>
        <w:spacing w:line="288" w:lineRule="auto"/>
        <w:ind w:firstLine="709"/>
        <w:contextualSpacing/>
        <w:jc w:val="both"/>
        <w:rPr>
          <w:rFonts w:ascii="Times New Roman" w:hAnsi="Times New Roman" w:cs="Times New Roman"/>
          <w:b/>
          <w:bCs/>
          <w:color w:val="000000" w:themeColor="text1"/>
          <w:sz w:val="28"/>
          <w:szCs w:val="28"/>
        </w:rPr>
      </w:pPr>
      <w:r w:rsidRPr="00671E0B">
        <w:rPr>
          <w:rFonts w:ascii="Times New Roman" w:hAnsi="Times New Roman" w:cs="Times New Roman"/>
          <w:b/>
          <w:bCs/>
          <w:color w:val="000000" w:themeColor="text1"/>
          <w:sz w:val="28"/>
          <w:szCs w:val="28"/>
        </w:rPr>
        <w:t>Аннотация</w:t>
      </w:r>
    </w:p>
    <w:p w14:paraId="40281AF2" w14:textId="114FE6F6" w:rsidR="002433DB" w:rsidRPr="00671E0B" w:rsidRDefault="002D34FC" w:rsidP="00854F91">
      <w:pPr>
        <w:spacing w:line="288" w:lineRule="auto"/>
        <w:ind w:firstLine="709"/>
        <w:contextualSpacing/>
        <w:jc w:val="both"/>
        <w:rPr>
          <w:rFonts w:ascii="Times New Roman" w:hAnsi="Times New Roman" w:cs="Times New Roman"/>
          <w:color w:val="000000" w:themeColor="text1"/>
          <w:sz w:val="28"/>
          <w:szCs w:val="28"/>
        </w:rPr>
      </w:pPr>
      <w:r w:rsidRPr="00671E0B">
        <w:rPr>
          <w:rFonts w:ascii="Times New Roman" w:hAnsi="Times New Roman" w:cs="Times New Roman"/>
          <w:color w:val="000000" w:themeColor="text1"/>
          <w:sz w:val="28"/>
          <w:szCs w:val="28"/>
        </w:rPr>
        <w:t xml:space="preserve">В </w:t>
      </w:r>
      <w:r w:rsidR="002649BB" w:rsidRPr="00671E0B">
        <w:rPr>
          <w:rFonts w:ascii="Times New Roman" w:hAnsi="Times New Roman" w:cs="Times New Roman"/>
          <w:color w:val="000000" w:themeColor="text1"/>
          <w:sz w:val="28"/>
          <w:szCs w:val="28"/>
        </w:rPr>
        <w:t xml:space="preserve">2022 год </w:t>
      </w:r>
      <w:r w:rsidRPr="00671E0B">
        <w:rPr>
          <w:rFonts w:ascii="Times New Roman" w:hAnsi="Times New Roman" w:cs="Times New Roman"/>
          <w:color w:val="000000" w:themeColor="text1"/>
          <w:sz w:val="28"/>
          <w:szCs w:val="28"/>
        </w:rPr>
        <w:t>прошел</w:t>
      </w:r>
      <w:r w:rsidR="002649BB" w:rsidRPr="00671E0B">
        <w:rPr>
          <w:rFonts w:ascii="Times New Roman" w:hAnsi="Times New Roman" w:cs="Times New Roman"/>
          <w:color w:val="000000" w:themeColor="text1"/>
          <w:sz w:val="28"/>
          <w:szCs w:val="28"/>
        </w:rPr>
        <w:t xml:space="preserve"> полный цикл перемен мнений в отношении ESG-повестки для РФ.</w:t>
      </w:r>
      <w:r w:rsidR="002433DB" w:rsidRPr="00671E0B">
        <w:rPr>
          <w:rFonts w:ascii="Times New Roman" w:hAnsi="Times New Roman" w:cs="Times New Roman"/>
          <w:color w:val="000000" w:themeColor="text1"/>
          <w:sz w:val="28"/>
          <w:szCs w:val="28"/>
        </w:rPr>
        <w:t xml:space="preserve"> В представленной работе первостепенной целью является </w:t>
      </w:r>
      <w:r w:rsidR="00816D1D" w:rsidRPr="00671E0B">
        <w:rPr>
          <w:rFonts w:ascii="Times New Roman" w:hAnsi="Times New Roman" w:cs="Times New Roman"/>
          <w:color w:val="000000" w:themeColor="text1"/>
          <w:sz w:val="28"/>
          <w:szCs w:val="28"/>
        </w:rPr>
        <w:t>подведение итогов 2022</w:t>
      </w:r>
      <w:r w:rsidR="002433DB" w:rsidRPr="00671E0B">
        <w:rPr>
          <w:rFonts w:ascii="Times New Roman" w:hAnsi="Times New Roman" w:cs="Times New Roman"/>
          <w:color w:val="000000" w:themeColor="text1"/>
          <w:sz w:val="28"/>
          <w:szCs w:val="28"/>
        </w:rPr>
        <w:t xml:space="preserve">, и </w:t>
      </w:r>
      <w:r w:rsidR="00816D1D" w:rsidRPr="00671E0B">
        <w:rPr>
          <w:rFonts w:ascii="Times New Roman" w:hAnsi="Times New Roman" w:cs="Times New Roman"/>
          <w:color w:val="000000" w:themeColor="text1"/>
          <w:sz w:val="28"/>
          <w:szCs w:val="28"/>
        </w:rPr>
        <w:t>определение тенденций в 2023 на рынке</w:t>
      </w:r>
      <w:r w:rsidR="002433DB" w:rsidRPr="00671E0B">
        <w:rPr>
          <w:rFonts w:ascii="Times New Roman" w:hAnsi="Times New Roman" w:cs="Times New Roman"/>
          <w:color w:val="000000" w:themeColor="text1"/>
          <w:sz w:val="28"/>
          <w:szCs w:val="28"/>
        </w:rPr>
        <w:t xml:space="preserve"> зелены</w:t>
      </w:r>
      <w:r w:rsidR="00D246CD" w:rsidRPr="00671E0B">
        <w:rPr>
          <w:rFonts w:ascii="Times New Roman" w:hAnsi="Times New Roman" w:cs="Times New Roman"/>
          <w:color w:val="000000" w:themeColor="text1"/>
          <w:sz w:val="28"/>
          <w:szCs w:val="28"/>
        </w:rPr>
        <w:t>х</w:t>
      </w:r>
      <w:r w:rsidR="002433DB" w:rsidRPr="00671E0B">
        <w:rPr>
          <w:rFonts w:ascii="Times New Roman" w:hAnsi="Times New Roman" w:cs="Times New Roman"/>
          <w:color w:val="000000" w:themeColor="text1"/>
          <w:sz w:val="28"/>
          <w:szCs w:val="28"/>
        </w:rPr>
        <w:t xml:space="preserve"> облигаци</w:t>
      </w:r>
      <w:r w:rsidR="00D246CD" w:rsidRPr="00671E0B">
        <w:rPr>
          <w:rFonts w:ascii="Times New Roman" w:hAnsi="Times New Roman" w:cs="Times New Roman"/>
          <w:color w:val="000000" w:themeColor="text1"/>
          <w:sz w:val="28"/>
          <w:szCs w:val="28"/>
        </w:rPr>
        <w:t>й</w:t>
      </w:r>
      <w:r w:rsidR="002433DB" w:rsidRPr="00671E0B">
        <w:rPr>
          <w:rFonts w:ascii="Times New Roman" w:hAnsi="Times New Roman" w:cs="Times New Roman"/>
          <w:color w:val="000000" w:themeColor="text1"/>
          <w:sz w:val="28"/>
          <w:szCs w:val="28"/>
        </w:rPr>
        <w:t xml:space="preserve"> </w:t>
      </w:r>
      <w:r w:rsidR="002649BB" w:rsidRPr="00671E0B">
        <w:rPr>
          <w:rFonts w:ascii="Times New Roman" w:hAnsi="Times New Roman" w:cs="Times New Roman"/>
          <w:color w:val="000000" w:themeColor="text1"/>
          <w:sz w:val="28"/>
          <w:szCs w:val="28"/>
        </w:rPr>
        <w:t>в</w:t>
      </w:r>
      <w:r w:rsidR="00D246CD" w:rsidRPr="00671E0B">
        <w:rPr>
          <w:rFonts w:ascii="Times New Roman" w:hAnsi="Times New Roman" w:cs="Times New Roman"/>
          <w:color w:val="000000" w:themeColor="text1"/>
          <w:sz w:val="28"/>
          <w:szCs w:val="28"/>
        </w:rPr>
        <w:t xml:space="preserve"> РФ</w:t>
      </w:r>
      <w:r w:rsidR="002433DB" w:rsidRPr="00671E0B">
        <w:rPr>
          <w:rFonts w:ascii="Times New Roman" w:hAnsi="Times New Roman" w:cs="Times New Roman"/>
          <w:color w:val="000000" w:themeColor="text1"/>
          <w:sz w:val="28"/>
          <w:szCs w:val="28"/>
        </w:rPr>
        <w:t>.</w:t>
      </w:r>
    </w:p>
    <w:p w14:paraId="36861F5A" w14:textId="70316121" w:rsidR="00FA044F" w:rsidRPr="00671E0B" w:rsidRDefault="002433DB" w:rsidP="00854F91">
      <w:pPr>
        <w:spacing w:line="288" w:lineRule="auto"/>
        <w:ind w:firstLine="709"/>
        <w:contextualSpacing/>
        <w:jc w:val="both"/>
        <w:rPr>
          <w:rFonts w:ascii="Times New Roman" w:hAnsi="Times New Roman" w:cs="Times New Roman"/>
          <w:color w:val="000000" w:themeColor="text1"/>
          <w:sz w:val="28"/>
          <w:szCs w:val="28"/>
        </w:rPr>
      </w:pPr>
      <w:r w:rsidRPr="00671E0B">
        <w:rPr>
          <w:rFonts w:ascii="Times New Roman" w:hAnsi="Times New Roman" w:cs="Times New Roman"/>
          <w:b/>
          <w:bCs/>
          <w:color w:val="000000" w:themeColor="text1"/>
          <w:sz w:val="28"/>
          <w:szCs w:val="28"/>
        </w:rPr>
        <w:t>Ключевые слова</w:t>
      </w:r>
      <w:r w:rsidRPr="00671E0B">
        <w:rPr>
          <w:rFonts w:ascii="Times New Roman" w:hAnsi="Times New Roman" w:cs="Times New Roman"/>
          <w:color w:val="000000" w:themeColor="text1"/>
          <w:sz w:val="28"/>
          <w:szCs w:val="28"/>
        </w:rPr>
        <w:t>: зелёные облигации, устойчивое развитие, экология</w:t>
      </w:r>
      <w:r w:rsidR="00A5080F" w:rsidRPr="00671E0B">
        <w:rPr>
          <w:rFonts w:ascii="Times New Roman" w:hAnsi="Times New Roman" w:cs="Times New Roman"/>
          <w:color w:val="000000" w:themeColor="text1"/>
          <w:sz w:val="28"/>
          <w:szCs w:val="28"/>
        </w:rPr>
        <w:t>,</w:t>
      </w:r>
      <w:r w:rsidR="00A5080F" w:rsidRPr="00671E0B">
        <w:rPr>
          <w:color w:val="000000" w:themeColor="text1"/>
        </w:rPr>
        <w:t xml:space="preserve"> </w:t>
      </w:r>
      <w:r w:rsidR="00A5080F" w:rsidRPr="00671E0B">
        <w:rPr>
          <w:rFonts w:ascii="Times New Roman" w:hAnsi="Times New Roman" w:cs="Times New Roman"/>
          <w:color w:val="000000" w:themeColor="text1"/>
          <w:sz w:val="28"/>
          <w:szCs w:val="28"/>
        </w:rPr>
        <w:t>ESG-повестка</w:t>
      </w:r>
      <w:r w:rsidRPr="00671E0B">
        <w:rPr>
          <w:rFonts w:ascii="Times New Roman" w:hAnsi="Times New Roman" w:cs="Times New Roman"/>
          <w:color w:val="000000" w:themeColor="text1"/>
          <w:sz w:val="28"/>
          <w:szCs w:val="28"/>
        </w:rPr>
        <w:t>.</w:t>
      </w:r>
    </w:p>
    <w:p w14:paraId="27302BF1" w14:textId="5780A28C" w:rsidR="00C71880" w:rsidRPr="00671E0B" w:rsidRDefault="00C71880" w:rsidP="00854F91">
      <w:pPr>
        <w:spacing w:line="288" w:lineRule="auto"/>
        <w:ind w:firstLine="709"/>
        <w:contextualSpacing/>
        <w:jc w:val="both"/>
        <w:rPr>
          <w:rFonts w:ascii="Times New Roman" w:hAnsi="Times New Roman" w:cs="Times New Roman"/>
          <w:b/>
          <w:bCs/>
          <w:color w:val="000000" w:themeColor="text1"/>
          <w:sz w:val="28"/>
          <w:szCs w:val="28"/>
        </w:rPr>
      </w:pPr>
      <w:r w:rsidRPr="00C71880">
        <w:rPr>
          <w:rFonts w:ascii="Times New Roman" w:hAnsi="Times New Roman" w:cs="Times New Roman"/>
          <w:b/>
          <w:bCs/>
          <w:sz w:val="28"/>
          <w:szCs w:val="28"/>
        </w:rPr>
        <w:t>Зеленые облигации:</w:t>
      </w:r>
      <w:r w:rsidRPr="00C71880">
        <w:rPr>
          <w:b/>
          <w:bCs/>
        </w:rPr>
        <w:t xml:space="preserve"> </w:t>
      </w:r>
      <w:r w:rsidRPr="00C71880">
        <w:rPr>
          <w:rFonts w:ascii="Times New Roman" w:hAnsi="Times New Roman" w:cs="Times New Roman"/>
          <w:b/>
          <w:bCs/>
          <w:sz w:val="28"/>
          <w:szCs w:val="28"/>
        </w:rPr>
        <w:t xml:space="preserve">главные итоги 2022 года </w:t>
      </w:r>
      <w:r w:rsidRPr="00671E0B">
        <w:rPr>
          <w:rFonts w:ascii="Times New Roman" w:hAnsi="Times New Roman" w:cs="Times New Roman"/>
          <w:b/>
          <w:bCs/>
          <w:color w:val="000000" w:themeColor="text1"/>
          <w:sz w:val="28"/>
          <w:szCs w:val="28"/>
        </w:rPr>
        <w:t xml:space="preserve">и </w:t>
      </w:r>
      <w:r w:rsidR="005E3805" w:rsidRPr="00671E0B">
        <w:rPr>
          <w:rFonts w:ascii="Times New Roman" w:hAnsi="Times New Roman" w:cs="Times New Roman"/>
          <w:b/>
          <w:bCs/>
          <w:color w:val="000000" w:themeColor="text1"/>
          <w:sz w:val="28"/>
          <w:szCs w:val="28"/>
        </w:rPr>
        <w:t>тенденции</w:t>
      </w:r>
      <w:r w:rsidRPr="00671E0B">
        <w:rPr>
          <w:rFonts w:ascii="Times New Roman" w:hAnsi="Times New Roman" w:cs="Times New Roman"/>
          <w:b/>
          <w:bCs/>
          <w:color w:val="000000" w:themeColor="text1"/>
          <w:sz w:val="28"/>
          <w:szCs w:val="28"/>
        </w:rPr>
        <w:t xml:space="preserve"> </w:t>
      </w:r>
      <w:r w:rsidR="005E3805" w:rsidRPr="00671E0B">
        <w:rPr>
          <w:rFonts w:ascii="Times New Roman" w:hAnsi="Times New Roman" w:cs="Times New Roman"/>
          <w:b/>
          <w:bCs/>
          <w:color w:val="000000" w:themeColor="text1"/>
          <w:sz w:val="28"/>
          <w:szCs w:val="28"/>
        </w:rPr>
        <w:t>2023</w:t>
      </w:r>
      <w:r w:rsidR="009B0CA9">
        <w:rPr>
          <w:rFonts w:ascii="Times New Roman" w:hAnsi="Times New Roman" w:cs="Times New Roman"/>
          <w:b/>
          <w:bCs/>
          <w:color w:val="000000" w:themeColor="text1"/>
          <w:sz w:val="28"/>
          <w:szCs w:val="28"/>
        </w:rPr>
        <w:t>.</w:t>
      </w:r>
    </w:p>
    <w:p w14:paraId="5AB1A3F1" w14:textId="77777777" w:rsidR="009B0CA9" w:rsidRDefault="002433DB" w:rsidP="009B0CA9">
      <w:pPr>
        <w:spacing w:line="288" w:lineRule="auto"/>
        <w:ind w:firstLine="709"/>
        <w:contextualSpacing/>
        <w:jc w:val="both"/>
        <w:rPr>
          <w:rFonts w:ascii="Times New Roman" w:hAnsi="Times New Roman" w:cs="Times New Roman"/>
          <w:sz w:val="28"/>
          <w:szCs w:val="28"/>
        </w:rPr>
      </w:pPr>
      <w:r w:rsidRPr="00D246CD">
        <w:rPr>
          <w:rFonts w:ascii="Times New Roman" w:hAnsi="Times New Roman" w:cs="Times New Roman"/>
          <w:sz w:val="28"/>
          <w:szCs w:val="28"/>
        </w:rPr>
        <w:t>Зеленые облигации – это облигации, поступления от размещения которых направляются на финансирование или рефинансирование (полное или частичное) новых и/или существующих зеленых проектов и которые соответствуют одному или нескольким стандартам в области зеленого финансирования</w:t>
      </w:r>
      <w:r w:rsidR="00C71880" w:rsidRPr="00D246CD">
        <w:rPr>
          <w:rFonts w:ascii="Times New Roman" w:hAnsi="Times New Roman" w:cs="Times New Roman"/>
          <w:sz w:val="28"/>
          <w:szCs w:val="28"/>
        </w:rPr>
        <w:t xml:space="preserve"> [1]</w:t>
      </w:r>
      <w:r w:rsidRPr="00D246CD">
        <w:rPr>
          <w:rFonts w:ascii="Times New Roman" w:hAnsi="Times New Roman" w:cs="Times New Roman"/>
          <w:sz w:val="28"/>
          <w:szCs w:val="28"/>
        </w:rPr>
        <w:t>.</w:t>
      </w:r>
      <w:r w:rsidR="00C71880" w:rsidRPr="00D246CD">
        <w:rPr>
          <w:rFonts w:ascii="Times New Roman" w:hAnsi="Times New Roman" w:cs="Times New Roman"/>
          <w:sz w:val="28"/>
          <w:szCs w:val="28"/>
        </w:rPr>
        <w:t xml:space="preserve"> </w:t>
      </w:r>
      <w:r w:rsidRPr="00D246CD">
        <w:rPr>
          <w:rFonts w:ascii="Times New Roman" w:hAnsi="Times New Roman" w:cs="Times New Roman"/>
          <w:sz w:val="28"/>
          <w:szCs w:val="28"/>
        </w:rPr>
        <w:t>Это рыночная маркировка облигационных выпусков, способствующая направлению финансовых потоков инвесторов на проекты, нацеленные на решение задач в области экологии</w:t>
      </w:r>
      <w:r w:rsidR="00C71880" w:rsidRPr="00D246CD">
        <w:rPr>
          <w:rFonts w:ascii="Times New Roman" w:hAnsi="Times New Roman" w:cs="Times New Roman"/>
          <w:sz w:val="28"/>
          <w:szCs w:val="28"/>
        </w:rPr>
        <w:t xml:space="preserve"> [1]. </w:t>
      </w:r>
      <w:r w:rsidRPr="00D246CD">
        <w:rPr>
          <w:rFonts w:ascii="Times New Roman" w:hAnsi="Times New Roman" w:cs="Times New Roman"/>
          <w:sz w:val="28"/>
          <w:szCs w:val="28"/>
        </w:rPr>
        <w:t xml:space="preserve">ESG-облигации — займы на проекты, отвечающие принципам устойчивого развития ESG (англ. environmental, </w:t>
      </w:r>
      <w:proofErr w:type="spellStart"/>
      <w:r w:rsidRPr="00D246CD">
        <w:rPr>
          <w:rFonts w:ascii="Times New Roman" w:hAnsi="Times New Roman" w:cs="Times New Roman"/>
          <w:sz w:val="28"/>
          <w:szCs w:val="28"/>
        </w:rPr>
        <w:t>social</w:t>
      </w:r>
      <w:proofErr w:type="spellEnd"/>
      <w:r w:rsidRPr="00D246CD">
        <w:rPr>
          <w:rFonts w:ascii="Times New Roman" w:hAnsi="Times New Roman" w:cs="Times New Roman"/>
          <w:sz w:val="28"/>
          <w:szCs w:val="28"/>
        </w:rPr>
        <w:t>, governance)</w:t>
      </w:r>
      <w:r w:rsidR="00C71880" w:rsidRPr="00D246CD">
        <w:rPr>
          <w:rFonts w:ascii="Times New Roman" w:hAnsi="Times New Roman" w:cs="Times New Roman"/>
          <w:sz w:val="28"/>
          <w:szCs w:val="28"/>
        </w:rPr>
        <w:t xml:space="preserve"> [2]</w:t>
      </w:r>
      <w:r w:rsidRPr="00D246CD">
        <w:rPr>
          <w:rFonts w:ascii="Times New Roman" w:hAnsi="Times New Roman" w:cs="Times New Roman"/>
          <w:sz w:val="28"/>
          <w:szCs w:val="28"/>
        </w:rPr>
        <w:t>. Параметры ESG включают в себя три составляющих — вопросы защиты окружающей среды, социальной сферы и корпоративного управления</w:t>
      </w:r>
      <w:r w:rsidR="0052639B" w:rsidRPr="00D246CD">
        <w:rPr>
          <w:rFonts w:ascii="Times New Roman" w:hAnsi="Times New Roman" w:cs="Times New Roman"/>
          <w:sz w:val="28"/>
          <w:szCs w:val="28"/>
        </w:rPr>
        <w:t xml:space="preserve"> </w:t>
      </w:r>
      <w:r w:rsidR="00C71880" w:rsidRPr="00D246CD">
        <w:rPr>
          <w:rFonts w:ascii="Times New Roman" w:hAnsi="Times New Roman" w:cs="Times New Roman"/>
          <w:sz w:val="28"/>
          <w:szCs w:val="28"/>
        </w:rPr>
        <w:t>[2]</w:t>
      </w:r>
      <w:r w:rsidRPr="00D246CD">
        <w:rPr>
          <w:rFonts w:ascii="Times New Roman" w:hAnsi="Times New Roman" w:cs="Times New Roman"/>
          <w:sz w:val="28"/>
          <w:szCs w:val="28"/>
        </w:rPr>
        <w:t xml:space="preserve">. На </w:t>
      </w:r>
      <w:proofErr w:type="spellStart"/>
      <w:r w:rsidRPr="00D246CD">
        <w:rPr>
          <w:rFonts w:ascii="Times New Roman" w:hAnsi="Times New Roman" w:cs="Times New Roman"/>
          <w:sz w:val="28"/>
          <w:szCs w:val="28"/>
        </w:rPr>
        <w:t>Мосбирже</w:t>
      </w:r>
      <w:proofErr w:type="spellEnd"/>
      <w:r w:rsidRPr="00D246CD">
        <w:rPr>
          <w:rFonts w:ascii="Times New Roman" w:hAnsi="Times New Roman" w:cs="Times New Roman"/>
          <w:sz w:val="28"/>
          <w:szCs w:val="28"/>
        </w:rPr>
        <w:t xml:space="preserve"> такие облигации относятся к сектору устойчивого развития</w:t>
      </w:r>
      <w:r w:rsidR="00811171">
        <w:rPr>
          <w:rFonts w:ascii="Times New Roman" w:hAnsi="Times New Roman" w:cs="Times New Roman"/>
          <w:sz w:val="28"/>
          <w:szCs w:val="28"/>
        </w:rPr>
        <w:t xml:space="preserve"> и </w:t>
      </w:r>
      <w:r w:rsidR="0052639B" w:rsidRPr="00D246CD">
        <w:rPr>
          <w:rFonts w:ascii="Times New Roman" w:hAnsi="Times New Roman" w:cs="Times New Roman"/>
          <w:sz w:val="28"/>
          <w:szCs w:val="28"/>
        </w:rPr>
        <w:t>представляют собой</w:t>
      </w:r>
      <w:r w:rsidRPr="00D246CD">
        <w:rPr>
          <w:rFonts w:ascii="Times New Roman" w:hAnsi="Times New Roman" w:cs="Times New Roman"/>
          <w:sz w:val="28"/>
          <w:szCs w:val="28"/>
        </w:rPr>
        <w:t xml:space="preserve"> проекты в нескольких сегментах: социальные облигации, зеленые облигации и облигации национальных и адаптационных проектов, то есть проектов, </w:t>
      </w:r>
      <w:r w:rsidR="00811171" w:rsidRPr="00D246CD">
        <w:rPr>
          <w:rFonts w:ascii="Times New Roman" w:hAnsi="Times New Roman" w:cs="Times New Roman"/>
          <w:sz w:val="28"/>
          <w:szCs w:val="28"/>
        </w:rPr>
        <w:t>направленн</w:t>
      </w:r>
      <w:r w:rsidR="00811171">
        <w:rPr>
          <w:rFonts w:ascii="Times New Roman" w:hAnsi="Times New Roman" w:cs="Times New Roman"/>
          <w:sz w:val="28"/>
          <w:szCs w:val="28"/>
        </w:rPr>
        <w:t>ых</w:t>
      </w:r>
      <w:r w:rsidRPr="00D246CD">
        <w:rPr>
          <w:rFonts w:ascii="Times New Roman" w:hAnsi="Times New Roman" w:cs="Times New Roman"/>
          <w:sz w:val="28"/>
          <w:szCs w:val="28"/>
        </w:rPr>
        <w:t xml:space="preserve"> на адаптацию экономики к изменени</w:t>
      </w:r>
      <w:r w:rsidR="00811171">
        <w:rPr>
          <w:rFonts w:ascii="Times New Roman" w:hAnsi="Times New Roman" w:cs="Times New Roman"/>
          <w:sz w:val="28"/>
          <w:szCs w:val="28"/>
        </w:rPr>
        <w:t>ям</w:t>
      </w:r>
      <w:r w:rsidRPr="00D246CD">
        <w:rPr>
          <w:rFonts w:ascii="Times New Roman" w:hAnsi="Times New Roman" w:cs="Times New Roman"/>
          <w:sz w:val="28"/>
          <w:szCs w:val="28"/>
        </w:rPr>
        <w:t>.</w:t>
      </w:r>
      <w:r w:rsidR="009B0CA9">
        <w:rPr>
          <w:rFonts w:ascii="Times New Roman" w:hAnsi="Times New Roman" w:cs="Times New Roman"/>
          <w:sz w:val="28"/>
          <w:szCs w:val="28"/>
        </w:rPr>
        <w:t xml:space="preserve"> </w:t>
      </w:r>
    </w:p>
    <w:p w14:paraId="7E244D5A" w14:textId="2E2FEB63" w:rsidR="000F30C1" w:rsidRPr="009B0CA9" w:rsidRDefault="002433DB" w:rsidP="009B0CA9">
      <w:pPr>
        <w:spacing w:line="288" w:lineRule="auto"/>
        <w:ind w:firstLine="709"/>
        <w:contextualSpacing/>
        <w:jc w:val="both"/>
        <w:rPr>
          <w:rFonts w:ascii="Times New Roman" w:hAnsi="Times New Roman" w:cs="Times New Roman"/>
          <w:sz w:val="28"/>
          <w:szCs w:val="28"/>
        </w:rPr>
      </w:pPr>
      <w:r w:rsidRPr="00D246CD">
        <w:rPr>
          <w:rFonts w:ascii="Times New Roman" w:hAnsi="Times New Roman" w:cs="Times New Roman"/>
          <w:sz w:val="28"/>
          <w:szCs w:val="28"/>
        </w:rPr>
        <w:t xml:space="preserve">В </w:t>
      </w:r>
      <w:r w:rsidR="00F1436F" w:rsidRPr="00F1436F">
        <w:rPr>
          <w:rFonts w:ascii="Times New Roman" w:hAnsi="Times New Roman" w:cs="Times New Roman"/>
          <w:sz w:val="28"/>
          <w:szCs w:val="28"/>
        </w:rPr>
        <w:t>России</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ООО</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Транспортная</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концессионная</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компания</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в 2016 году</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выпустила</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перв</w:t>
      </w:r>
      <w:r w:rsidR="00F1436F">
        <w:rPr>
          <w:rFonts w:ascii="Times New Roman" w:hAnsi="Times New Roman" w:cs="Times New Roman"/>
          <w:sz w:val="28"/>
          <w:szCs w:val="28"/>
        </w:rPr>
        <w:t xml:space="preserve">ые </w:t>
      </w:r>
      <w:r w:rsidR="00F1436F" w:rsidRPr="00F1436F">
        <w:rPr>
          <w:rFonts w:ascii="Times New Roman" w:hAnsi="Times New Roman" w:cs="Times New Roman"/>
          <w:sz w:val="28"/>
          <w:szCs w:val="28"/>
        </w:rPr>
        <w:t>зелен</w:t>
      </w:r>
      <w:r w:rsidR="00F1436F">
        <w:rPr>
          <w:rFonts w:ascii="Times New Roman" w:hAnsi="Times New Roman" w:cs="Times New Roman"/>
          <w:sz w:val="28"/>
          <w:szCs w:val="28"/>
        </w:rPr>
        <w:t xml:space="preserve">ые </w:t>
      </w:r>
      <w:r w:rsidR="00F1436F" w:rsidRPr="00F1436F">
        <w:rPr>
          <w:rFonts w:ascii="Times New Roman" w:hAnsi="Times New Roman" w:cs="Times New Roman"/>
          <w:sz w:val="28"/>
          <w:szCs w:val="28"/>
        </w:rPr>
        <w:t>облигаци</w:t>
      </w:r>
      <w:r w:rsidR="00F1436F">
        <w:rPr>
          <w:rFonts w:ascii="Times New Roman" w:hAnsi="Times New Roman" w:cs="Times New Roman"/>
          <w:sz w:val="28"/>
          <w:szCs w:val="28"/>
        </w:rPr>
        <w:t>и</w:t>
      </w:r>
      <w:r w:rsidR="00F1436F" w:rsidRPr="00F1436F">
        <w:rPr>
          <w:rFonts w:ascii="Times New Roman" w:hAnsi="Times New Roman" w:cs="Times New Roman"/>
          <w:sz w:val="28"/>
          <w:szCs w:val="28"/>
        </w:rPr>
        <w:t>,</w:t>
      </w:r>
      <w:r w:rsidR="00F1436F">
        <w:rPr>
          <w:rFonts w:ascii="Times New Roman" w:hAnsi="Times New Roman" w:cs="Times New Roman"/>
          <w:sz w:val="28"/>
          <w:szCs w:val="28"/>
        </w:rPr>
        <w:t xml:space="preserve"> </w:t>
      </w:r>
      <w:r w:rsidR="00F1436F" w:rsidRPr="00F1436F">
        <w:rPr>
          <w:rFonts w:ascii="Times New Roman" w:hAnsi="Times New Roman" w:cs="Times New Roman"/>
          <w:sz w:val="28"/>
          <w:szCs w:val="28"/>
        </w:rPr>
        <w:t>направленн</w:t>
      </w:r>
      <w:r w:rsidR="00F1436F">
        <w:rPr>
          <w:rFonts w:ascii="Times New Roman" w:hAnsi="Times New Roman" w:cs="Times New Roman"/>
          <w:sz w:val="28"/>
          <w:szCs w:val="28"/>
        </w:rPr>
        <w:t xml:space="preserve">ые </w:t>
      </w:r>
      <w:r w:rsidRPr="00D246CD">
        <w:rPr>
          <w:rFonts w:ascii="Times New Roman" w:hAnsi="Times New Roman" w:cs="Times New Roman"/>
          <w:sz w:val="28"/>
          <w:szCs w:val="28"/>
        </w:rPr>
        <w:t xml:space="preserve">на развитие экологически чистого городского транспорта. Резкий рост интереса к зеленым финансовым инструментам пришелся на 2020–2021 </w:t>
      </w:r>
      <w:r w:rsidRPr="00D246CD">
        <w:rPr>
          <w:rFonts w:ascii="Times New Roman" w:hAnsi="Times New Roman" w:cs="Times New Roman"/>
          <w:color w:val="000000" w:themeColor="text1"/>
          <w:sz w:val="28"/>
          <w:szCs w:val="28"/>
        </w:rPr>
        <w:t xml:space="preserve">годы. </w:t>
      </w:r>
      <w:r w:rsidR="00CA759A" w:rsidRPr="00D246CD">
        <w:rPr>
          <w:rFonts w:ascii="Times New Roman" w:hAnsi="Times New Roman" w:cs="Times New Roman"/>
          <w:color w:val="000000" w:themeColor="text1"/>
          <w:sz w:val="28"/>
          <w:szCs w:val="28"/>
        </w:rPr>
        <w:t>В 2021 году</w:t>
      </w:r>
      <w:r w:rsidR="000F30C1" w:rsidRPr="00D246CD">
        <w:rPr>
          <w:rFonts w:ascii="Times New Roman" w:hAnsi="Times New Roman" w:cs="Times New Roman"/>
          <w:color w:val="000000" w:themeColor="text1"/>
          <w:sz w:val="28"/>
          <w:szCs w:val="28"/>
        </w:rPr>
        <w:t xml:space="preserve"> аббревиатура ESG не сходила с </w:t>
      </w:r>
      <w:r w:rsidR="00891691">
        <w:rPr>
          <w:rFonts w:ascii="Times New Roman" w:hAnsi="Times New Roman" w:cs="Times New Roman"/>
          <w:color w:val="000000" w:themeColor="text1"/>
          <w:sz w:val="28"/>
          <w:szCs w:val="28"/>
        </w:rPr>
        <w:t xml:space="preserve">новостных </w:t>
      </w:r>
      <w:r w:rsidR="000F30C1" w:rsidRPr="00D246CD">
        <w:rPr>
          <w:rFonts w:ascii="Times New Roman" w:hAnsi="Times New Roman" w:cs="Times New Roman"/>
          <w:color w:val="000000" w:themeColor="text1"/>
          <w:sz w:val="28"/>
          <w:szCs w:val="28"/>
        </w:rPr>
        <w:t xml:space="preserve">повесток деловых российских форумов и постоянно звучала в выступлениях топ-менеджеров государственных и частных корпораций. </w:t>
      </w:r>
      <w:r w:rsidR="00891691" w:rsidRPr="00891691">
        <w:rPr>
          <w:rFonts w:ascii="Times New Roman" w:hAnsi="Times New Roman" w:cs="Times New Roman"/>
          <w:color w:val="000000" w:themeColor="text1"/>
          <w:sz w:val="28"/>
          <w:szCs w:val="28"/>
        </w:rPr>
        <w:t>А</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сектор</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ESG-облигаций</w:t>
      </w:r>
      <w:r w:rsidR="00891691">
        <w:rPr>
          <w:rFonts w:ascii="Times New Roman" w:hAnsi="Times New Roman" w:cs="Times New Roman"/>
          <w:color w:val="000000" w:themeColor="text1"/>
          <w:sz w:val="28"/>
          <w:szCs w:val="28"/>
        </w:rPr>
        <w:t xml:space="preserve"> пережил настоящий </w:t>
      </w:r>
      <w:r w:rsidR="00891691" w:rsidRPr="00891691">
        <w:rPr>
          <w:rFonts w:ascii="Times New Roman" w:hAnsi="Times New Roman" w:cs="Times New Roman"/>
          <w:color w:val="000000" w:themeColor="text1"/>
          <w:sz w:val="28"/>
          <w:szCs w:val="28"/>
        </w:rPr>
        <w:t>бум</w:t>
      </w:r>
      <w:r w:rsidR="00891691">
        <w:rPr>
          <w:rFonts w:ascii="Times New Roman" w:hAnsi="Times New Roman" w:cs="Times New Roman"/>
          <w:color w:val="000000" w:themeColor="text1"/>
          <w:sz w:val="28"/>
          <w:szCs w:val="28"/>
        </w:rPr>
        <w:t xml:space="preserve"> в 2021 году</w:t>
      </w:r>
      <w:r w:rsidR="00891691" w:rsidRPr="00891691">
        <w:rPr>
          <w:rFonts w:ascii="Times New Roman" w:hAnsi="Times New Roman" w:cs="Times New Roman"/>
          <w:color w:val="000000" w:themeColor="text1"/>
          <w:sz w:val="28"/>
          <w:szCs w:val="28"/>
        </w:rPr>
        <w:t>:</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на</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рынок</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вышли</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девять</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эмитентов</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и</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выпустили</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10</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выпусков,</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что</w:t>
      </w:r>
      <w:r w:rsidR="00891691">
        <w:rPr>
          <w:rFonts w:ascii="Times New Roman" w:hAnsi="Times New Roman" w:cs="Times New Roman"/>
          <w:color w:val="000000" w:themeColor="text1"/>
          <w:sz w:val="28"/>
          <w:szCs w:val="28"/>
        </w:rPr>
        <w:t xml:space="preserve"> </w:t>
      </w:r>
      <w:r w:rsidR="00891691" w:rsidRPr="00891691">
        <w:rPr>
          <w:rFonts w:ascii="Times New Roman" w:hAnsi="Times New Roman" w:cs="Times New Roman"/>
          <w:color w:val="000000" w:themeColor="text1"/>
          <w:sz w:val="28"/>
          <w:szCs w:val="28"/>
        </w:rPr>
        <w:t xml:space="preserve">в 12 </w:t>
      </w:r>
      <w:r w:rsidR="000F30C1" w:rsidRPr="00D246CD">
        <w:rPr>
          <w:rFonts w:ascii="Times New Roman" w:hAnsi="Times New Roman" w:cs="Times New Roman"/>
          <w:color w:val="000000" w:themeColor="text1"/>
          <w:sz w:val="28"/>
          <w:szCs w:val="28"/>
        </w:rPr>
        <w:t xml:space="preserve">раз больше, чем </w:t>
      </w:r>
      <w:r w:rsidR="00BE4496">
        <w:rPr>
          <w:rFonts w:ascii="Times New Roman" w:hAnsi="Times New Roman" w:cs="Times New Roman"/>
          <w:color w:val="000000" w:themeColor="text1"/>
          <w:sz w:val="28"/>
          <w:szCs w:val="28"/>
        </w:rPr>
        <w:t xml:space="preserve">в 2020 году </w:t>
      </w:r>
      <w:r w:rsidR="000F30C1" w:rsidRPr="00D246CD">
        <w:rPr>
          <w:rFonts w:ascii="Times New Roman" w:hAnsi="Times New Roman" w:cs="Times New Roman"/>
          <w:color w:val="000000" w:themeColor="text1"/>
          <w:sz w:val="28"/>
          <w:szCs w:val="28"/>
        </w:rPr>
        <w:t xml:space="preserve">— более 170 млрд рублей </w:t>
      </w:r>
      <w:r w:rsidR="000F30C1" w:rsidRPr="00D246CD">
        <w:rPr>
          <w:rFonts w:ascii="Times New Roman" w:hAnsi="Times New Roman" w:cs="Times New Roman"/>
          <w:color w:val="000000" w:themeColor="text1"/>
          <w:sz w:val="28"/>
          <w:szCs w:val="28"/>
        </w:rPr>
        <w:lastRenderedPageBreak/>
        <w:t xml:space="preserve">(согласно данным </w:t>
      </w:r>
      <w:proofErr w:type="spellStart"/>
      <w:r w:rsidR="000F30C1" w:rsidRPr="00D246CD">
        <w:rPr>
          <w:rFonts w:ascii="Times New Roman" w:hAnsi="Times New Roman" w:cs="Times New Roman"/>
          <w:color w:val="000000" w:themeColor="text1"/>
          <w:sz w:val="28"/>
          <w:szCs w:val="28"/>
        </w:rPr>
        <w:t>Мосбиржи</w:t>
      </w:r>
      <w:proofErr w:type="spellEnd"/>
      <w:r w:rsidR="000F30C1" w:rsidRPr="00D246CD">
        <w:rPr>
          <w:rFonts w:ascii="Times New Roman" w:hAnsi="Times New Roman" w:cs="Times New Roman"/>
          <w:color w:val="000000" w:themeColor="text1"/>
          <w:sz w:val="28"/>
          <w:szCs w:val="28"/>
        </w:rPr>
        <w:t>)</w:t>
      </w:r>
      <w:r w:rsidR="00CA759A" w:rsidRPr="00D246CD">
        <w:rPr>
          <w:rFonts w:ascii="Times New Roman" w:hAnsi="Times New Roman" w:cs="Times New Roman"/>
          <w:color w:val="000000" w:themeColor="text1"/>
          <w:sz w:val="28"/>
          <w:szCs w:val="28"/>
        </w:rPr>
        <w:t xml:space="preserve"> [2]</w:t>
      </w:r>
      <w:r w:rsidR="000F30C1" w:rsidRPr="00D246CD">
        <w:rPr>
          <w:rFonts w:ascii="Times New Roman" w:hAnsi="Times New Roman" w:cs="Times New Roman"/>
          <w:color w:val="000000" w:themeColor="text1"/>
          <w:sz w:val="28"/>
          <w:szCs w:val="28"/>
        </w:rPr>
        <w:t xml:space="preserve">. После </w:t>
      </w:r>
      <w:r w:rsidR="00CA759A" w:rsidRPr="00D246CD">
        <w:rPr>
          <w:rFonts w:ascii="Times New Roman" w:hAnsi="Times New Roman" w:cs="Times New Roman"/>
          <w:color w:val="000000" w:themeColor="text1"/>
          <w:sz w:val="28"/>
          <w:szCs w:val="28"/>
        </w:rPr>
        <w:t>успеха</w:t>
      </w:r>
      <w:r w:rsidR="000F30C1" w:rsidRPr="00D246CD">
        <w:rPr>
          <w:rFonts w:ascii="Times New Roman" w:hAnsi="Times New Roman" w:cs="Times New Roman"/>
          <w:color w:val="000000" w:themeColor="text1"/>
          <w:sz w:val="28"/>
          <w:szCs w:val="28"/>
        </w:rPr>
        <w:t xml:space="preserve"> ESG-повестки в </w:t>
      </w:r>
      <w:r w:rsidR="00CA759A" w:rsidRPr="00D246CD">
        <w:rPr>
          <w:rFonts w:ascii="Times New Roman" w:hAnsi="Times New Roman" w:cs="Times New Roman"/>
          <w:color w:val="000000" w:themeColor="text1"/>
          <w:sz w:val="28"/>
          <w:szCs w:val="28"/>
        </w:rPr>
        <w:t>2021</w:t>
      </w:r>
      <w:r w:rsidR="000F30C1" w:rsidRPr="00D246CD">
        <w:rPr>
          <w:rFonts w:ascii="Times New Roman" w:hAnsi="Times New Roman" w:cs="Times New Roman"/>
          <w:color w:val="000000" w:themeColor="text1"/>
          <w:sz w:val="28"/>
          <w:szCs w:val="28"/>
        </w:rPr>
        <w:t xml:space="preserve"> году на рынке финансовых инструментов в сфере устойчивого развития </w:t>
      </w:r>
      <w:r w:rsidR="00F1436F">
        <w:rPr>
          <w:rFonts w:ascii="Times New Roman" w:hAnsi="Times New Roman" w:cs="Times New Roman"/>
          <w:color w:val="000000" w:themeColor="text1"/>
          <w:sz w:val="28"/>
          <w:szCs w:val="28"/>
        </w:rPr>
        <w:t>наступило затишье.</w:t>
      </w:r>
      <w:r w:rsidR="000F30C1" w:rsidRPr="00D246CD">
        <w:rPr>
          <w:rFonts w:ascii="Times New Roman" w:hAnsi="Times New Roman" w:cs="Times New Roman"/>
          <w:color w:val="000000" w:themeColor="text1"/>
          <w:sz w:val="28"/>
          <w:szCs w:val="28"/>
        </w:rPr>
        <w:t xml:space="preserve"> </w:t>
      </w:r>
      <w:r w:rsidR="00F1436F">
        <w:rPr>
          <w:rFonts w:ascii="Times New Roman" w:hAnsi="Times New Roman" w:cs="Times New Roman"/>
          <w:color w:val="000000" w:themeColor="text1"/>
          <w:sz w:val="28"/>
          <w:szCs w:val="28"/>
        </w:rPr>
        <w:t>З</w:t>
      </w:r>
      <w:r w:rsidR="000F30C1" w:rsidRPr="00D246CD">
        <w:rPr>
          <w:rFonts w:ascii="Times New Roman" w:hAnsi="Times New Roman" w:cs="Times New Roman"/>
          <w:color w:val="000000" w:themeColor="text1"/>
          <w:sz w:val="28"/>
          <w:szCs w:val="28"/>
        </w:rPr>
        <w:t xml:space="preserve">а полгода разместился только один зеленый выпуск облигаций. </w:t>
      </w:r>
      <w:r w:rsidR="00EC5005">
        <w:rPr>
          <w:rFonts w:ascii="Times New Roman" w:hAnsi="Times New Roman" w:cs="Times New Roman"/>
          <w:color w:val="000000" w:themeColor="text1"/>
          <w:sz w:val="28"/>
          <w:szCs w:val="28"/>
        </w:rPr>
        <w:t>Это было с</w:t>
      </w:r>
      <w:r w:rsidR="00CA759A" w:rsidRPr="00D246CD">
        <w:rPr>
          <w:rFonts w:ascii="Times New Roman" w:hAnsi="Times New Roman" w:cs="Times New Roman"/>
          <w:color w:val="000000" w:themeColor="text1"/>
          <w:sz w:val="28"/>
          <w:szCs w:val="28"/>
        </w:rPr>
        <w:t xml:space="preserve">вязано с тем, что </w:t>
      </w:r>
      <w:r w:rsidR="000F30C1" w:rsidRPr="00D246CD">
        <w:rPr>
          <w:rFonts w:ascii="Times New Roman" w:hAnsi="Times New Roman" w:cs="Times New Roman"/>
          <w:color w:val="000000" w:themeColor="text1"/>
          <w:sz w:val="28"/>
          <w:szCs w:val="28"/>
        </w:rPr>
        <w:t xml:space="preserve">ESG-финансирование было </w:t>
      </w:r>
      <w:r w:rsidR="00EC5005">
        <w:rPr>
          <w:rFonts w:ascii="Times New Roman" w:hAnsi="Times New Roman" w:cs="Times New Roman"/>
          <w:color w:val="000000" w:themeColor="text1"/>
          <w:sz w:val="28"/>
          <w:szCs w:val="28"/>
        </w:rPr>
        <w:t xml:space="preserve">обусловлено </w:t>
      </w:r>
      <w:r w:rsidR="000F30C1" w:rsidRPr="00D246CD">
        <w:rPr>
          <w:rFonts w:ascii="Times New Roman" w:hAnsi="Times New Roman" w:cs="Times New Roman"/>
          <w:color w:val="000000" w:themeColor="text1"/>
          <w:sz w:val="28"/>
          <w:szCs w:val="28"/>
        </w:rPr>
        <w:t>желанием российских компаний улучшить</w:t>
      </w:r>
      <w:r w:rsidR="00274035">
        <w:rPr>
          <w:rFonts w:ascii="Times New Roman" w:hAnsi="Times New Roman" w:cs="Times New Roman"/>
          <w:color w:val="000000" w:themeColor="text1"/>
          <w:sz w:val="28"/>
          <w:szCs w:val="28"/>
        </w:rPr>
        <w:t xml:space="preserve"> свой</w:t>
      </w:r>
      <w:r w:rsidR="000F30C1" w:rsidRPr="00D246CD">
        <w:rPr>
          <w:rFonts w:ascii="Times New Roman" w:hAnsi="Times New Roman" w:cs="Times New Roman"/>
          <w:color w:val="000000" w:themeColor="text1"/>
          <w:sz w:val="28"/>
          <w:szCs w:val="28"/>
        </w:rPr>
        <w:t xml:space="preserve"> имидж </w:t>
      </w:r>
      <w:r w:rsidR="0049223B">
        <w:rPr>
          <w:rFonts w:ascii="Times New Roman" w:hAnsi="Times New Roman" w:cs="Times New Roman"/>
          <w:color w:val="000000" w:themeColor="text1"/>
          <w:sz w:val="28"/>
          <w:szCs w:val="28"/>
        </w:rPr>
        <w:t xml:space="preserve">в глазах </w:t>
      </w:r>
      <w:r w:rsidR="000F30C1" w:rsidRPr="00D246CD">
        <w:rPr>
          <w:rFonts w:ascii="Times New Roman" w:hAnsi="Times New Roman" w:cs="Times New Roman"/>
          <w:color w:val="000000" w:themeColor="text1"/>
          <w:sz w:val="28"/>
          <w:szCs w:val="28"/>
        </w:rPr>
        <w:t xml:space="preserve">западных инвесторов, </w:t>
      </w:r>
      <w:r w:rsidR="00274035">
        <w:rPr>
          <w:rFonts w:ascii="Times New Roman" w:hAnsi="Times New Roman" w:cs="Times New Roman"/>
          <w:color w:val="000000" w:themeColor="text1"/>
          <w:sz w:val="28"/>
          <w:szCs w:val="28"/>
        </w:rPr>
        <w:t xml:space="preserve">но </w:t>
      </w:r>
      <w:r w:rsidR="00CA759A" w:rsidRPr="00D246CD">
        <w:rPr>
          <w:rFonts w:ascii="Times New Roman" w:hAnsi="Times New Roman" w:cs="Times New Roman"/>
          <w:color w:val="000000" w:themeColor="text1"/>
          <w:sz w:val="28"/>
          <w:szCs w:val="28"/>
        </w:rPr>
        <w:t xml:space="preserve">в 2022 году </w:t>
      </w:r>
      <w:r w:rsidR="0049223B">
        <w:rPr>
          <w:rFonts w:ascii="Times New Roman" w:hAnsi="Times New Roman" w:cs="Times New Roman"/>
          <w:color w:val="000000" w:themeColor="text1"/>
          <w:sz w:val="28"/>
          <w:szCs w:val="28"/>
        </w:rPr>
        <w:t>этот</w:t>
      </w:r>
      <w:r w:rsidR="000F30C1" w:rsidRPr="00D246CD">
        <w:rPr>
          <w:rFonts w:ascii="Times New Roman" w:hAnsi="Times New Roman" w:cs="Times New Roman"/>
          <w:color w:val="000000" w:themeColor="text1"/>
          <w:sz w:val="28"/>
          <w:szCs w:val="28"/>
        </w:rPr>
        <w:t xml:space="preserve"> аргумент </w:t>
      </w:r>
      <w:r w:rsidR="00274035">
        <w:rPr>
          <w:rFonts w:ascii="Times New Roman" w:hAnsi="Times New Roman" w:cs="Times New Roman"/>
          <w:color w:val="000000" w:themeColor="text1"/>
          <w:sz w:val="28"/>
          <w:szCs w:val="28"/>
        </w:rPr>
        <w:t>утратил</w:t>
      </w:r>
      <w:r w:rsidR="00CA759A" w:rsidRPr="00D246CD">
        <w:rPr>
          <w:rFonts w:ascii="Times New Roman" w:hAnsi="Times New Roman" w:cs="Times New Roman"/>
          <w:color w:val="000000" w:themeColor="text1"/>
          <w:sz w:val="28"/>
          <w:szCs w:val="28"/>
        </w:rPr>
        <w:t xml:space="preserve"> свою актуальность. </w:t>
      </w:r>
      <w:r w:rsidR="0049223B" w:rsidRPr="0049223B">
        <w:rPr>
          <w:rFonts w:ascii="Times New Roman" w:hAnsi="Times New Roman" w:cs="Times New Roman"/>
          <w:color w:val="000000" w:themeColor="text1"/>
          <w:sz w:val="28"/>
          <w:szCs w:val="28"/>
        </w:rPr>
        <w:t>Сильный</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геополитический</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кризис</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вначале</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2022 года</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кардинально</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изменил</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внутреннюю</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и</w:t>
      </w:r>
      <w:r w:rsidR="0049223B">
        <w:rPr>
          <w:rFonts w:ascii="Times New Roman" w:hAnsi="Times New Roman" w:cs="Times New Roman"/>
          <w:color w:val="000000" w:themeColor="text1"/>
          <w:sz w:val="28"/>
          <w:szCs w:val="28"/>
        </w:rPr>
        <w:t xml:space="preserve"> </w:t>
      </w:r>
      <w:r w:rsidR="0049223B" w:rsidRPr="0049223B">
        <w:rPr>
          <w:rFonts w:ascii="Times New Roman" w:hAnsi="Times New Roman" w:cs="Times New Roman"/>
          <w:color w:val="000000" w:themeColor="text1"/>
          <w:sz w:val="28"/>
          <w:szCs w:val="28"/>
        </w:rPr>
        <w:t>внешнюю</w:t>
      </w:r>
      <w:r w:rsidR="0049223B">
        <w:rPr>
          <w:rFonts w:ascii="Times New Roman" w:hAnsi="Times New Roman" w:cs="Times New Roman"/>
          <w:color w:val="000000" w:themeColor="text1"/>
          <w:sz w:val="28"/>
          <w:szCs w:val="28"/>
        </w:rPr>
        <w:t xml:space="preserve"> </w:t>
      </w:r>
      <w:r w:rsidR="000F30C1" w:rsidRPr="00D246CD">
        <w:rPr>
          <w:rFonts w:ascii="Times New Roman" w:hAnsi="Times New Roman" w:cs="Times New Roman"/>
          <w:color w:val="000000" w:themeColor="text1"/>
          <w:sz w:val="28"/>
          <w:szCs w:val="28"/>
        </w:rPr>
        <w:t>обстановк</w:t>
      </w:r>
      <w:r w:rsidR="0049223B">
        <w:rPr>
          <w:rFonts w:ascii="Times New Roman" w:hAnsi="Times New Roman" w:cs="Times New Roman"/>
          <w:color w:val="000000" w:themeColor="text1"/>
          <w:sz w:val="28"/>
          <w:szCs w:val="28"/>
        </w:rPr>
        <w:t>у</w:t>
      </w:r>
      <w:r w:rsidR="000F30C1" w:rsidRPr="00D246CD">
        <w:rPr>
          <w:rFonts w:ascii="Times New Roman" w:hAnsi="Times New Roman" w:cs="Times New Roman"/>
          <w:color w:val="000000" w:themeColor="text1"/>
          <w:sz w:val="28"/>
          <w:szCs w:val="28"/>
        </w:rPr>
        <w:t>. Все прогнозы, которые были ранее сделаны на 2022 год, потеряли актуальность, и в России начались процессы переосмысления и перестройки ESG-повестки.</w:t>
      </w:r>
      <w:r w:rsidR="00CA759A" w:rsidRPr="00D246CD">
        <w:rPr>
          <w:rFonts w:ascii="Times New Roman" w:hAnsi="Times New Roman" w:cs="Times New Roman"/>
          <w:color w:val="000000" w:themeColor="text1"/>
          <w:sz w:val="28"/>
          <w:szCs w:val="28"/>
        </w:rPr>
        <w:t xml:space="preserve"> </w:t>
      </w:r>
      <w:r w:rsidR="000F30C1" w:rsidRPr="00D246CD">
        <w:rPr>
          <w:rFonts w:ascii="Times New Roman" w:hAnsi="Times New Roman" w:cs="Times New Roman"/>
          <w:color w:val="000000" w:themeColor="text1"/>
          <w:sz w:val="28"/>
          <w:szCs w:val="28"/>
        </w:rPr>
        <w:t xml:space="preserve">2022 год продемонстрировал </w:t>
      </w:r>
      <w:r w:rsidR="0049223B">
        <w:rPr>
          <w:rFonts w:ascii="Times New Roman" w:hAnsi="Times New Roman" w:cs="Times New Roman"/>
          <w:color w:val="000000" w:themeColor="text1"/>
          <w:sz w:val="28"/>
          <w:szCs w:val="28"/>
        </w:rPr>
        <w:t>стремительные</w:t>
      </w:r>
      <w:r w:rsidR="0090344B" w:rsidRPr="00D246CD">
        <w:rPr>
          <w:rFonts w:ascii="Times New Roman" w:hAnsi="Times New Roman" w:cs="Times New Roman"/>
          <w:color w:val="000000" w:themeColor="text1"/>
          <w:sz w:val="28"/>
          <w:szCs w:val="28"/>
        </w:rPr>
        <w:t xml:space="preserve"> </w:t>
      </w:r>
      <w:r w:rsidR="000F30C1" w:rsidRPr="00D246CD">
        <w:rPr>
          <w:rFonts w:ascii="Times New Roman" w:hAnsi="Times New Roman" w:cs="Times New Roman"/>
          <w:color w:val="000000" w:themeColor="text1"/>
          <w:sz w:val="28"/>
          <w:szCs w:val="28"/>
        </w:rPr>
        <w:t>перемен</w:t>
      </w:r>
      <w:r w:rsidR="0090344B" w:rsidRPr="00D246CD">
        <w:rPr>
          <w:rFonts w:ascii="Times New Roman" w:hAnsi="Times New Roman" w:cs="Times New Roman"/>
          <w:color w:val="000000" w:themeColor="text1"/>
          <w:sz w:val="28"/>
          <w:szCs w:val="28"/>
        </w:rPr>
        <w:t>ы</w:t>
      </w:r>
      <w:r w:rsidR="000F30C1" w:rsidRPr="00D246CD">
        <w:rPr>
          <w:rFonts w:ascii="Times New Roman" w:hAnsi="Times New Roman" w:cs="Times New Roman"/>
          <w:color w:val="000000" w:themeColor="text1"/>
          <w:sz w:val="28"/>
          <w:szCs w:val="28"/>
        </w:rPr>
        <w:t xml:space="preserve"> мнений в отношении к ESG</w:t>
      </w:r>
      <w:r w:rsidR="0090344B" w:rsidRPr="00D246CD">
        <w:rPr>
          <w:rFonts w:ascii="Times New Roman" w:hAnsi="Times New Roman" w:cs="Times New Roman"/>
          <w:color w:val="000000" w:themeColor="text1"/>
          <w:sz w:val="28"/>
          <w:szCs w:val="28"/>
        </w:rPr>
        <w:t xml:space="preserve"> от одной крайности к </w:t>
      </w:r>
      <w:r w:rsidR="009B0CA9">
        <w:rPr>
          <w:noProof/>
          <w:color w:val="000000" w:themeColor="text1"/>
          <w:sz w:val="28"/>
          <w:szCs w:val="28"/>
        </w:rPr>
        <w:drawing>
          <wp:anchor distT="0" distB="0" distL="114300" distR="114300" simplePos="0" relativeHeight="251657728" behindDoc="0" locked="0" layoutInCell="1" allowOverlap="1" wp14:anchorId="75C1B0E9" wp14:editId="2D434301">
            <wp:simplePos x="0" y="0"/>
            <wp:positionH relativeFrom="column">
              <wp:posOffset>6350</wp:posOffset>
            </wp:positionH>
            <wp:positionV relativeFrom="paragraph">
              <wp:posOffset>2984500</wp:posOffset>
            </wp:positionV>
            <wp:extent cx="5935980" cy="708660"/>
            <wp:effectExtent l="38100" t="38100" r="26670" b="53340"/>
            <wp:wrapTopAndBottom/>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90344B" w:rsidRPr="00D246CD">
        <w:rPr>
          <w:rFonts w:ascii="Times New Roman" w:hAnsi="Times New Roman" w:cs="Times New Roman"/>
          <w:color w:val="000000" w:themeColor="text1"/>
          <w:sz w:val="28"/>
          <w:szCs w:val="28"/>
        </w:rPr>
        <w:t>другой</w:t>
      </w:r>
      <w:r w:rsidR="000F30C1" w:rsidRPr="00D246CD">
        <w:rPr>
          <w:rFonts w:ascii="Times New Roman" w:hAnsi="Times New Roman" w:cs="Times New Roman"/>
          <w:color w:val="000000" w:themeColor="text1"/>
          <w:sz w:val="28"/>
          <w:szCs w:val="28"/>
        </w:rPr>
        <w:t>.</w:t>
      </w:r>
    </w:p>
    <w:p w14:paraId="603A2722" w14:textId="60D0184B" w:rsidR="00274035" w:rsidRDefault="00AE3EDD" w:rsidP="00854F91">
      <w:pPr>
        <w:spacing w:line="288"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1 -Перемена мнений в отношении </w:t>
      </w:r>
      <w:r>
        <w:rPr>
          <w:rFonts w:ascii="Times New Roman" w:hAnsi="Times New Roman" w:cs="Times New Roman"/>
          <w:color w:val="000000" w:themeColor="text1"/>
          <w:sz w:val="28"/>
          <w:szCs w:val="28"/>
          <w:lang w:val="en-US"/>
        </w:rPr>
        <w:t>ESG</w:t>
      </w:r>
      <w:r>
        <w:rPr>
          <w:rFonts w:ascii="Times New Roman" w:hAnsi="Times New Roman" w:cs="Times New Roman"/>
          <w:color w:val="000000" w:themeColor="text1"/>
          <w:sz w:val="28"/>
          <w:szCs w:val="28"/>
        </w:rPr>
        <w:t>-повестки в 2022 году</w:t>
      </w:r>
    </w:p>
    <w:p w14:paraId="37882A58" w14:textId="5F4D0BA0" w:rsidR="00BE4496" w:rsidRPr="00816D1D" w:rsidRDefault="00274035" w:rsidP="00854F91">
      <w:pPr>
        <w:spacing w:line="288"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16D1D" w:rsidRPr="00816D1D">
        <w:rPr>
          <w:rFonts w:ascii="Times New Roman" w:hAnsi="Times New Roman" w:cs="Times New Roman"/>
          <w:sz w:val="28"/>
          <w:szCs w:val="28"/>
        </w:rPr>
        <w:t>Подводя итоги 2022 года</w:t>
      </w:r>
      <w:r w:rsidR="00BE4496">
        <w:rPr>
          <w:rFonts w:ascii="Times New Roman" w:hAnsi="Times New Roman" w:cs="Times New Roman"/>
          <w:sz w:val="28"/>
          <w:szCs w:val="28"/>
        </w:rPr>
        <w:t>,</w:t>
      </w:r>
      <w:r w:rsidR="00816D1D" w:rsidRPr="00816D1D">
        <w:rPr>
          <w:rFonts w:ascii="Times New Roman" w:hAnsi="Times New Roman" w:cs="Times New Roman"/>
          <w:sz w:val="28"/>
          <w:szCs w:val="28"/>
        </w:rPr>
        <w:t xml:space="preserve"> можно отметить, что первое полугодие 2022 года характеризовалось затишьем в секторе устойчивого развития, во втором полугодии начинается постепенное восстановление активности в данном секторе (в период 07.2022-12.2022 были осуществлены все размещения года).  В 2022 году 5 российских эмитентов осуществили 7 выпусков зеленых облигаций на сумму 106,17 млрд. руб.</w:t>
      </w:r>
      <w:r w:rsidR="00655097">
        <w:rPr>
          <w:rFonts w:ascii="Times New Roman" w:hAnsi="Times New Roman" w:cs="Times New Roman"/>
          <w:sz w:val="28"/>
          <w:szCs w:val="28"/>
        </w:rPr>
        <w:t xml:space="preserve"> (рисунок 2)</w:t>
      </w:r>
      <w:r w:rsidR="00816D1D" w:rsidRPr="00816D1D">
        <w:rPr>
          <w:rFonts w:ascii="Times New Roman" w:hAnsi="Times New Roman" w:cs="Times New Roman"/>
          <w:sz w:val="28"/>
          <w:szCs w:val="28"/>
        </w:rPr>
        <w:t>, что меньше в 2 раза по сравнению с 2021 годом. Объем выпуска в 2021 году для сравнения составил 211,89 млрд. руб</w:t>
      </w:r>
      <w:r w:rsidR="004E44C8">
        <w:rPr>
          <w:rFonts w:ascii="Times New Roman" w:hAnsi="Times New Roman" w:cs="Times New Roman"/>
          <w:sz w:val="28"/>
          <w:szCs w:val="28"/>
        </w:rPr>
        <w:t xml:space="preserve">. </w:t>
      </w:r>
      <w:r w:rsidR="004E44C8" w:rsidRPr="004E44C8">
        <w:rPr>
          <w:rFonts w:ascii="Times New Roman" w:hAnsi="Times New Roman" w:cs="Times New Roman"/>
          <w:sz w:val="28"/>
          <w:szCs w:val="28"/>
        </w:rPr>
        <w:t>[</w:t>
      </w:r>
      <w:r w:rsidR="004E44C8">
        <w:rPr>
          <w:rFonts w:ascii="Times New Roman" w:hAnsi="Times New Roman" w:cs="Times New Roman"/>
          <w:sz w:val="28"/>
          <w:szCs w:val="28"/>
        </w:rPr>
        <w:t>3</w:t>
      </w:r>
      <w:r w:rsidR="004E44C8" w:rsidRPr="004E44C8">
        <w:rPr>
          <w:rFonts w:ascii="Times New Roman" w:hAnsi="Times New Roman" w:cs="Times New Roman"/>
          <w:sz w:val="28"/>
          <w:szCs w:val="28"/>
        </w:rPr>
        <w:t>].</w:t>
      </w:r>
    </w:p>
    <w:p w14:paraId="0F772D65" w14:textId="77777777" w:rsidR="00816D1D" w:rsidRPr="00242FB6" w:rsidRDefault="00816D1D" w:rsidP="00854F91">
      <w:pPr>
        <w:spacing w:line="288" w:lineRule="auto"/>
        <w:ind w:firstLine="709"/>
        <w:contextualSpacing/>
        <w:jc w:val="center"/>
        <w:rPr>
          <w:rFonts w:ascii="Times New Roman" w:hAnsi="Times New Roman" w:cs="Times New Roman"/>
          <w:color w:val="000000" w:themeColor="text1"/>
          <w:sz w:val="28"/>
          <w:szCs w:val="28"/>
        </w:rPr>
      </w:pPr>
      <w:r w:rsidRPr="00242FB6">
        <w:rPr>
          <w:rFonts w:ascii="Times New Roman" w:hAnsi="Times New Roman" w:cs="Times New Roman"/>
          <w:noProof/>
          <w:color w:val="000000" w:themeColor="text1"/>
          <w:sz w:val="28"/>
          <w:szCs w:val="28"/>
        </w:rPr>
        <w:drawing>
          <wp:inline distT="0" distB="0" distL="0" distR="0" wp14:anchorId="4E08EF17" wp14:editId="450E016A">
            <wp:extent cx="4114800" cy="2042160"/>
            <wp:effectExtent l="0" t="0" r="0" b="15240"/>
            <wp:docPr id="1" name="Диаграмма 1">
              <a:extLst xmlns:a="http://schemas.openxmlformats.org/drawingml/2006/main">
                <a:ext uri="{FF2B5EF4-FFF2-40B4-BE49-F238E27FC236}">
                  <a16:creationId xmlns:a16="http://schemas.microsoft.com/office/drawing/2014/main" id="{87859457-F739-4766-A09E-4517ADEE84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1540FF" w14:textId="36AD87E9" w:rsidR="00816D1D" w:rsidRPr="00242FB6" w:rsidRDefault="00816D1D" w:rsidP="00854F91">
      <w:pPr>
        <w:spacing w:line="288" w:lineRule="auto"/>
        <w:ind w:firstLine="709"/>
        <w:contextualSpacing/>
        <w:jc w:val="both"/>
        <w:rPr>
          <w:rFonts w:ascii="Times New Roman" w:hAnsi="Times New Roman" w:cs="Times New Roman"/>
          <w:color w:val="000000" w:themeColor="text1"/>
          <w:sz w:val="28"/>
          <w:szCs w:val="28"/>
        </w:rPr>
      </w:pPr>
      <w:r w:rsidRPr="00242FB6">
        <w:rPr>
          <w:rFonts w:ascii="Times New Roman" w:hAnsi="Times New Roman" w:cs="Times New Roman"/>
          <w:color w:val="000000" w:themeColor="text1"/>
          <w:sz w:val="28"/>
          <w:szCs w:val="28"/>
        </w:rPr>
        <w:t>Рис</w:t>
      </w:r>
      <w:r w:rsidR="00BE4496">
        <w:rPr>
          <w:rFonts w:ascii="Times New Roman" w:hAnsi="Times New Roman" w:cs="Times New Roman"/>
          <w:color w:val="000000" w:themeColor="text1"/>
          <w:sz w:val="28"/>
          <w:szCs w:val="28"/>
        </w:rPr>
        <w:t>унок</w:t>
      </w:r>
      <w:r w:rsidRPr="00242FB6">
        <w:rPr>
          <w:rFonts w:ascii="Times New Roman" w:hAnsi="Times New Roman" w:cs="Times New Roman"/>
          <w:color w:val="000000" w:themeColor="text1"/>
          <w:sz w:val="28"/>
          <w:szCs w:val="28"/>
        </w:rPr>
        <w:t xml:space="preserve"> 2</w:t>
      </w:r>
      <w:r w:rsidR="00BE4496">
        <w:rPr>
          <w:rFonts w:ascii="Times New Roman" w:hAnsi="Times New Roman" w:cs="Times New Roman"/>
          <w:color w:val="000000" w:themeColor="text1"/>
          <w:sz w:val="28"/>
          <w:szCs w:val="28"/>
        </w:rPr>
        <w:t xml:space="preserve"> </w:t>
      </w:r>
      <w:r w:rsidRPr="00242FB6">
        <w:rPr>
          <w:rFonts w:ascii="Times New Roman" w:hAnsi="Times New Roman" w:cs="Times New Roman"/>
          <w:color w:val="000000" w:themeColor="text1"/>
          <w:sz w:val="28"/>
          <w:szCs w:val="28"/>
        </w:rPr>
        <w:t>-</w:t>
      </w:r>
      <w:r w:rsidR="00BE4496">
        <w:rPr>
          <w:rFonts w:ascii="Times New Roman" w:hAnsi="Times New Roman" w:cs="Times New Roman"/>
          <w:color w:val="000000" w:themeColor="text1"/>
          <w:sz w:val="28"/>
          <w:szCs w:val="28"/>
        </w:rPr>
        <w:t xml:space="preserve"> </w:t>
      </w:r>
      <w:r w:rsidRPr="00242FB6">
        <w:rPr>
          <w:rFonts w:ascii="Times New Roman" w:hAnsi="Times New Roman" w:cs="Times New Roman"/>
          <w:color w:val="000000" w:themeColor="text1"/>
          <w:sz w:val="28"/>
          <w:szCs w:val="28"/>
        </w:rPr>
        <w:t>Объем выпуска облигаций в формате устойчивого развития в период с 2018-2022 года, млрд руб.</w:t>
      </w:r>
    </w:p>
    <w:p w14:paraId="4C6B7783" w14:textId="4C82750F" w:rsidR="00816D1D" w:rsidRPr="00816D1D" w:rsidRDefault="00816D1D" w:rsidP="00854F91">
      <w:pPr>
        <w:spacing w:line="288" w:lineRule="auto"/>
        <w:ind w:firstLine="709"/>
        <w:contextualSpacing/>
        <w:jc w:val="both"/>
        <w:rPr>
          <w:rFonts w:ascii="Times New Roman" w:hAnsi="Times New Roman" w:cs="Times New Roman"/>
          <w:sz w:val="28"/>
          <w:szCs w:val="28"/>
        </w:rPr>
      </w:pPr>
      <w:r w:rsidRPr="00816D1D">
        <w:rPr>
          <w:rFonts w:ascii="Times New Roman" w:hAnsi="Times New Roman" w:cs="Times New Roman"/>
          <w:sz w:val="28"/>
          <w:szCs w:val="28"/>
        </w:rPr>
        <w:t xml:space="preserve">Итого суммарный выпуск </w:t>
      </w:r>
      <w:r w:rsidR="00BE4496">
        <w:rPr>
          <w:rFonts w:ascii="Times New Roman" w:hAnsi="Times New Roman" w:cs="Times New Roman"/>
          <w:sz w:val="28"/>
          <w:szCs w:val="28"/>
        </w:rPr>
        <w:t xml:space="preserve">зеленых </w:t>
      </w:r>
      <w:r w:rsidRPr="00816D1D">
        <w:rPr>
          <w:rFonts w:ascii="Times New Roman" w:hAnsi="Times New Roman" w:cs="Times New Roman"/>
          <w:sz w:val="28"/>
          <w:szCs w:val="28"/>
        </w:rPr>
        <w:t xml:space="preserve">облигаций за период 2018-2022 года составил 524,7 млрд. руб.; за указанный период состоялось 40 выпусков облигаций. </w:t>
      </w:r>
    </w:p>
    <w:p w14:paraId="51D4C69D" w14:textId="2CBAD407" w:rsidR="00816D1D" w:rsidRPr="00816D1D" w:rsidRDefault="00BE4496" w:rsidP="002F2466">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Подведем и</w:t>
      </w:r>
      <w:r w:rsidR="00816D1D" w:rsidRPr="00816D1D">
        <w:rPr>
          <w:rFonts w:ascii="Times New Roman" w:hAnsi="Times New Roman" w:cs="Times New Roman"/>
          <w:sz w:val="28"/>
          <w:szCs w:val="28"/>
        </w:rPr>
        <w:t xml:space="preserve">тоги 2022 года в области правового обеспечения устойчивого развития: утверждены критерии климатических проектов, правила ведения реестра углеродных единиц, принят рад нормативных документов: </w:t>
      </w:r>
    </w:p>
    <w:p w14:paraId="6AD44FB2" w14:textId="0C280A3C" w:rsidR="00816D1D" w:rsidRPr="00BE4496" w:rsidRDefault="00816D1D" w:rsidP="002F2466">
      <w:pPr>
        <w:pStyle w:val="a6"/>
        <w:numPr>
          <w:ilvl w:val="0"/>
          <w:numId w:val="11"/>
        </w:numPr>
        <w:spacing w:after="0" w:line="288" w:lineRule="auto"/>
        <w:ind w:left="0" w:firstLine="709"/>
        <w:jc w:val="both"/>
        <w:rPr>
          <w:rFonts w:ascii="Times New Roman" w:hAnsi="Times New Roman" w:cs="Times New Roman"/>
          <w:color w:val="000000" w:themeColor="text1"/>
          <w:sz w:val="28"/>
          <w:szCs w:val="28"/>
        </w:rPr>
      </w:pPr>
      <w:r w:rsidRPr="00BE4496">
        <w:rPr>
          <w:rFonts w:ascii="Times New Roman" w:hAnsi="Times New Roman" w:cs="Times New Roman"/>
          <w:color w:val="000000" w:themeColor="text1"/>
          <w:sz w:val="28"/>
          <w:szCs w:val="28"/>
        </w:rPr>
        <w:t xml:space="preserve">Постановление Правительства РФ от 20 апреля 2022 г. N 707 </w:t>
      </w:r>
      <w:r w:rsidR="00671E0B">
        <w:rPr>
          <w:rFonts w:ascii="Times New Roman" w:hAnsi="Times New Roman" w:cs="Times New Roman"/>
          <w:color w:val="000000" w:themeColor="text1"/>
          <w:sz w:val="28"/>
          <w:szCs w:val="28"/>
        </w:rPr>
        <w:t>«</w:t>
      </w:r>
      <w:r w:rsidRPr="00BE4496">
        <w:rPr>
          <w:rFonts w:ascii="Times New Roman" w:hAnsi="Times New Roman" w:cs="Times New Roman"/>
          <w:color w:val="000000" w:themeColor="text1"/>
          <w:sz w:val="28"/>
          <w:szCs w:val="28"/>
        </w:rPr>
        <w:t>Об утверждении Правил представления и проверки отчетов о выбросах парниковых газов, формы отчета о выбросах парниковых газов, Правил создания и ведения реестра выбросов парниковых газов и о внесении изменений в некоторые акты Правительства Российской Федерации</w:t>
      </w:r>
      <w:r w:rsidR="00671E0B">
        <w:rPr>
          <w:rFonts w:ascii="Times New Roman" w:hAnsi="Times New Roman" w:cs="Times New Roman"/>
          <w:color w:val="000000" w:themeColor="text1"/>
          <w:sz w:val="28"/>
          <w:szCs w:val="28"/>
        </w:rPr>
        <w:t>».</w:t>
      </w:r>
    </w:p>
    <w:p w14:paraId="6E02579F" w14:textId="771D4808" w:rsidR="00816D1D" w:rsidRPr="00BE4496" w:rsidRDefault="00816D1D" w:rsidP="00854F91">
      <w:pPr>
        <w:pStyle w:val="a6"/>
        <w:numPr>
          <w:ilvl w:val="0"/>
          <w:numId w:val="11"/>
        </w:numPr>
        <w:spacing w:line="288" w:lineRule="auto"/>
        <w:ind w:left="0" w:firstLine="709"/>
        <w:jc w:val="both"/>
        <w:rPr>
          <w:rFonts w:ascii="Times New Roman" w:hAnsi="Times New Roman" w:cs="Times New Roman"/>
          <w:color w:val="000000" w:themeColor="text1"/>
          <w:sz w:val="28"/>
          <w:szCs w:val="28"/>
        </w:rPr>
      </w:pPr>
      <w:r w:rsidRPr="00BE4496">
        <w:rPr>
          <w:rFonts w:ascii="Times New Roman" w:hAnsi="Times New Roman" w:cs="Times New Roman"/>
          <w:color w:val="000000" w:themeColor="text1"/>
          <w:sz w:val="28"/>
          <w:szCs w:val="28"/>
        </w:rPr>
        <w:t>Приказ Минэкономразвития России от 11 мая 2022 г. № 248 «Об утверждении критериев и порядка отнесения проектов, реализуемых юридическими лицами, индивидуальными предпринимателями или физическими лицами, к климатическим проектам, формы и порядка представления отчета о реализации климатического проекта»</w:t>
      </w:r>
      <w:r w:rsidR="00671E0B">
        <w:rPr>
          <w:rFonts w:ascii="Times New Roman" w:hAnsi="Times New Roman" w:cs="Times New Roman"/>
          <w:color w:val="000000" w:themeColor="text1"/>
          <w:sz w:val="28"/>
          <w:szCs w:val="28"/>
        </w:rPr>
        <w:t>.</w:t>
      </w:r>
      <w:r w:rsidRPr="00BE4496">
        <w:rPr>
          <w:rFonts w:ascii="Times New Roman" w:hAnsi="Times New Roman" w:cs="Times New Roman"/>
          <w:color w:val="000000" w:themeColor="text1"/>
          <w:sz w:val="28"/>
          <w:szCs w:val="28"/>
        </w:rPr>
        <w:t xml:space="preserve"> </w:t>
      </w:r>
    </w:p>
    <w:p w14:paraId="2C94BE28" w14:textId="39614980" w:rsidR="00671E0B" w:rsidRPr="00671E0B" w:rsidRDefault="00671E0B" w:rsidP="00854F91">
      <w:pPr>
        <w:pStyle w:val="a6"/>
        <w:numPr>
          <w:ilvl w:val="0"/>
          <w:numId w:val="11"/>
        </w:numPr>
        <w:spacing w:line="288" w:lineRule="auto"/>
        <w:ind w:left="0" w:firstLine="709"/>
        <w:jc w:val="both"/>
        <w:rPr>
          <w:rFonts w:ascii="Times New Roman" w:hAnsi="Times New Roman" w:cs="Times New Roman"/>
          <w:sz w:val="28"/>
          <w:szCs w:val="28"/>
        </w:rPr>
      </w:pPr>
      <w:r w:rsidRPr="00671E0B">
        <w:rPr>
          <w:rFonts w:ascii="Times New Roman" w:hAnsi="Times New Roman" w:cs="Times New Roman"/>
          <w:color w:val="000000" w:themeColor="text1"/>
          <w:sz w:val="28"/>
          <w:szCs w:val="28"/>
        </w:rPr>
        <w:t xml:space="preserve">Приказ Минприроды России от 27.05.2022 N 371 </w:t>
      </w:r>
      <w:r>
        <w:rPr>
          <w:rFonts w:ascii="Times New Roman" w:hAnsi="Times New Roman" w:cs="Times New Roman"/>
          <w:color w:val="000000" w:themeColor="text1"/>
          <w:sz w:val="28"/>
          <w:szCs w:val="28"/>
        </w:rPr>
        <w:t>«</w:t>
      </w:r>
      <w:r w:rsidRPr="00671E0B">
        <w:rPr>
          <w:rFonts w:ascii="Times New Roman" w:hAnsi="Times New Roman" w:cs="Times New Roman"/>
          <w:color w:val="000000" w:themeColor="text1"/>
          <w:sz w:val="28"/>
          <w:szCs w:val="28"/>
        </w:rPr>
        <w:t>Об утверждении методик количественного определения объемов выбросов парниковых газов и поглощений парниковых газов</w:t>
      </w:r>
      <w:r>
        <w:rPr>
          <w:rFonts w:ascii="Times New Roman" w:hAnsi="Times New Roman" w:cs="Times New Roman"/>
          <w:color w:val="000000" w:themeColor="text1"/>
          <w:sz w:val="28"/>
          <w:szCs w:val="28"/>
        </w:rPr>
        <w:t>».</w:t>
      </w:r>
    </w:p>
    <w:p w14:paraId="70DC1826" w14:textId="736E57FE" w:rsidR="00816D1D" w:rsidRPr="00816D1D" w:rsidRDefault="00110F79" w:rsidP="00F04BB8">
      <w:pPr>
        <w:pStyle w:val="a6"/>
        <w:numPr>
          <w:ilvl w:val="0"/>
          <w:numId w:val="11"/>
        </w:numPr>
        <w:spacing w:after="0" w:line="288" w:lineRule="auto"/>
        <w:ind w:left="0" w:firstLine="709"/>
        <w:jc w:val="both"/>
        <w:rPr>
          <w:rFonts w:ascii="Times New Roman" w:hAnsi="Times New Roman" w:cs="Times New Roman"/>
          <w:sz w:val="28"/>
          <w:szCs w:val="28"/>
        </w:rPr>
      </w:pPr>
      <w:r w:rsidRPr="00110F79">
        <w:rPr>
          <w:rFonts w:ascii="Times New Roman" w:hAnsi="Times New Roman" w:cs="Times New Roman"/>
          <w:color w:val="000000" w:themeColor="text1"/>
          <w:sz w:val="28"/>
          <w:szCs w:val="28"/>
        </w:rPr>
        <w:t>Банк России</w:t>
      </w:r>
      <w:r w:rsidR="00243741">
        <w:rPr>
          <w:rFonts w:ascii="Times New Roman" w:hAnsi="Times New Roman" w:cs="Times New Roman"/>
          <w:color w:val="000000" w:themeColor="text1"/>
          <w:sz w:val="28"/>
          <w:szCs w:val="28"/>
        </w:rPr>
        <w:t xml:space="preserve"> обозначил </w:t>
      </w:r>
      <w:hyperlink r:id="rId11" w:tgtFrame="_blank" w:history="1">
        <w:r w:rsidR="00243741">
          <w:rPr>
            <w:rFonts w:ascii="Times New Roman" w:hAnsi="Times New Roman" w:cs="Times New Roman"/>
            <w:color w:val="000000" w:themeColor="text1"/>
            <w:sz w:val="28"/>
            <w:szCs w:val="28"/>
          </w:rPr>
          <w:t>о</w:t>
        </w:r>
        <w:r w:rsidR="00816D1D" w:rsidRPr="00BE4496">
          <w:rPr>
            <w:rFonts w:ascii="Times New Roman" w:hAnsi="Times New Roman" w:cs="Times New Roman"/>
            <w:color w:val="000000" w:themeColor="text1"/>
            <w:sz w:val="28"/>
            <w:szCs w:val="28"/>
          </w:rPr>
          <w:t>сновные направления развития финансового рынка Российской Федерации на 2023 год и период 2024 и 2025 год</w:t>
        </w:r>
      </w:hyperlink>
      <w:r w:rsidR="00243741">
        <w:rPr>
          <w:rFonts w:ascii="Times New Roman" w:hAnsi="Times New Roman" w:cs="Times New Roman"/>
          <w:color w:val="000000" w:themeColor="text1"/>
          <w:sz w:val="28"/>
          <w:szCs w:val="28"/>
        </w:rPr>
        <w:t>ы</w:t>
      </w:r>
      <w:r w:rsidR="00816D1D" w:rsidRPr="00816D1D">
        <w:rPr>
          <w:rFonts w:ascii="Times New Roman" w:hAnsi="Times New Roman" w:cs="Times New Roman"/>
          <w:sz w:val="28"/>
          <w:szCs w:val="28"/>
        </w:rPr>
        <w:t>.</w:t>
      </w:r>
    </w:p>
    <w:p w14:paraId="46975E78" w14:textId="236E2173" w:rsidR="00816D1D" w:rsidRPr="00816D1D" w:rsidRDefault="00816D1D" w:rsidP="00F04BB8">
      <w:pPr>
        <w:spacing w:after="0" w:line="288" w:lineRule="auto"/>
        <w:ind w:firstLine="709"/>
        <w:contextualSpacing/>
        <w:jc w:val="both"/>
        <w:rPr>
          <w:rFonts w:ascii="Times New Roman" w:hAnsi="Times New Roman" w:cs="Times New Roman"/>
          <w:sz w:val="28"/>
          <w:szCs w:val="28"/>
        </w:rPr>
      </w:pPr>
      <w:r w:rsidRPr="00816D1D">
        <w:rPr>
          <w:rFonts w:ascii="Times New Roman" w:hAnsi="Times New Roman" w:cs="Times New Roman"/>
          <w:sz w:val="28"/>
          <w:szCs w:val="28"/>
        </w:rPr>
        <w:t>Банк России</w:t>
      </w:r>
      <w:r w:rsidR="009F1D30">
        <w:rPr>
          <w:rFonts w:ascii="Times New Roman" w:hAnsi="Times New Roman" w:cs="Times New Roman"/>
          <w:sz w:val="28"/>
          <w:szCs w:val="28"/>
        </w:rPr>
        <w:t xml:space="preserve"> </w:t>
      </w:r>
      <w:r w:rsidRPr="00816D1D">
        <w:rPr>
          <w:rFonts w:ascii="Times New Roman" w:hAnsi="Times New Roman" w:cs="Times New Roman"/>
          <w:sz w:val="28"/>
          <w:szCs w:val="28"/>
        </w:rPr>
        <w:t xml:space="preserve">расширил </w:t>
      </w:r>
      <w:r w:rsidR="00243741">
        <w:rPr>
          <w:rFonts w:ascii="Times New Roman" w:hAnsi="Times New Roman" w:cs="Times New Roman"/>
          <w:sz w:val="28"/>
          <w:szCs w:val="28"/>
        </w:rPr>
        <w:t xml:space="preserve">спектр </w:t>
      </w:r>
      <w:r w:rsidRPr="00816D1D">
        <w:rPr>
          <w:rFonts w:ascii="Times New Roman" w:hAnsi="Times New Roman" w:cs="Times New Roman"/>
          <w:sz w:val="28"/>
          <w:szCs w:val="28"/>
        </w:rPr>
        <w:t>инструментов финансирования устойчивого развития</w:t>
      </w:r>
      <w:r w:rsidR="00243741">
        <w:rPr>
          <w:rFonts w:ascii="Times New Roman" w:hAnsi="Times New Roman" w:cs="Times New Roman"/>
          <w:sz w:val="28"/>
          <w:szCs w:val="28"/>
        </w:rPr>
        <w:t xml:space="preserve"> и</w:t>
      </w:r>
      <w:r w:rsidRPr="00816D1D">
        <w:rPr>
          <w:rFonts w:ascii="Times New Roman" w:hAnsi="Times New Roman" w:cs="Times New Roman"/>
          <w:sz w:val="28"/>
          <w:szCs w:val="28"/>
        </w:rPr>
        <w:t xml:space="preserve"> с</w:t>
      </w:r>
      <w:r w:rsidR="00243741">
        <w:rPr>
          <w:rFonts w:ascii="Times New Roman" w:hAnsi="Times New Roman" w:cs="Times New Roman"/>
          <w:sz w:val="28"/>
          <w:szCs w:val="28"/>
        </w:rPr>
        <w:t>оздал</w:t>
      </w:r>
      <w:r w:rsidRPr="00816D1D">
        <w:rPr>
          <w:rFonts w:ascii="Times New Roman" w:hAnsi="Times New Roman" w:cs="Times New Roman"/>
          <w:sz w:val="28"/>
          <w:szCs w:val="28"/>
        </w:rPr>
        <w:t xml:space="preserve"> правов</w:t>
      </w:r>
      <w:r w:rsidR="00243741">
        <w:rPr>
          <w:rFonts w:ascii="Times New Roman" w:hAnsi="Times New Roman" w:cs="Times New Roman"/>
          <w:sz w:val="28"/>
          <w:szCs w:val="28"/>
        </w:rPr>
        <w:t>ую</w:t>
      </w:r>
      <w:r w:rsidRPr="00816D1D">
        <w:rPr>
          <w:rFonts w:ascii="Times New Roman" w:hAnsi="Times New Roman" w:cs="Times New Roman"/>
          <w:sz w:val="28"/>
          <w:szCs w:val="28"/>
        </w:rPr>
        <w:t xml:space="preserve"> </w:t>
      </w:r>
      <w:r w:rsidR="00243741">
        <w:rPr>
          <w:rFonts w:ascii="Times New Roman" w:hAnsi="Times New Roman" w:cs="Times New Roman"/>
          <w:sz w:val="28"/>
          <w:szCs w:val="28"/>
        </w:rPr>
        <w:t xml:space="preserve">базу </w:t>
      </w:r>
      <w:r w:rsidRPr="00816D1D">
        <w:rPr>
          <w:rFonts w:ascii="Times New Roman" w:hAnsi="Times New Roman" w:cs="Times New Roman"/>
          <w:sz w:val="28"/>
          <w:szCs w:val="28"/>
        </w:rPr>
        <w:t xml:space="preserve">для эмиссии новых видов </w:t>
      </w:r>
      <w:r w:rsidR="00243741" w:rsidRPr="00243741">
        <w:rPr>
          <w:rFonts w:ascii="Times New Roman" w:hAnsi="Times New Roman" w:cs="Times New Roman"/>
          <w:sz w:val="28"/>
          <w:szCs w:val="28"/>
        </w:rPr>
        <w:t>(адаптационные</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облигации,</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облигации,</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связанные</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с</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достижением</w:t>
      </w:r>
      <w:r w:rsidR="00243741">
        <w:rPr>
          <w:rFonts w:ascii="Times New Roman" w:hAnsi="Times New Roman" w:cs="Times New Roman"/>
          <w:sz w:val="28"/>
          <w:szCs w:val="28"/>
        </w:rPr>
        <w:t xml:space="preserve"> ц</w:t>
      </w:r>
      <w:r w:rsidR="00243741" w:rsidRPr="00243741">
        <w:rPr>
          <w:rFonts w:ascii="Times New Roman" w:hAnsi="Times New Roman" w:cs="Times New Roman"/>
          <w:sz w:val="28"/>
          <w:szCs w:val="28"/>
        </w:rPr>
        <w:t>елей</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устойчивого развития,</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облигации</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климатического</w:t>
      </w:r>
      <w:r w:rsidR="00243741">
        <w:rPr>
          <w:rFonts w:ascii="Times New Roman" w:hAnsi="Times New Roman" w:cs="Times New Roman"/>
          <w:sz w:val="28"/>
          <w:szCs w:val="28"/>
        </w:rPr>
        <w:t xml:space="preserve"> </w:t>
      </w:r>
      <w:r w:rsidR="00243741" w:rsidRPr="00243741">
        <w:rPr>
          <w:rFonts w:ascii="Times New Roman" w:hAnsi="Times New Roman" w:cs="Times New Roman"/>
          <w:sz w:val="28"/>
          <w:szCs w:val="28"/>
        </w:rPr>
        <w:t>перехода).</w:t>
      </w:r>
    </w:p>
    <w:p w14:paraId="55E6F3B0" w14:textId="374B4444" w:rsidR="002911E2" w:rsidRDefault="006B32CA" w:rsidP="002D3FD5">
      <w:pPr>
        <w:spacing w:line="288" w:lineRule="auto"/>
        <w:ind w:firstLine="709"/>
        <w:contextualSpacing/>
        <w:jc w:val="both"/>
        <w:rPr>
          <w:rFonts w:ascii="Times New Roman" w:hAnsi="Times New Roman" w:cs="Times New Roman"/>
          <w:color w:val="000000" w:themeColor="text1"/>
          <w:sz w:val="28"/>
          <w:szCs w:val="28"/>
        </w:rPr>
      </w:pPr>
      <w:r w:rsidRPr="006B32CA">
        <w:rPr>
          <w:rFonts w:ascii="Times New Roman" w:hAnsi="Times New Roman" w:cs="Times New Roman"/>
          <w:sz w:val="28"/>
          <w:szCs w:val="28"/>
        </w:rPr>
        <w:t>Кризис 2022</w:t>
      </w:r>
      <w:r>
        <w:rPr>
          <w:rFonts w:ascii="Times New Roman" w:hAnsi="Times New Roman" w:cs="Times New Roman"/>
          <w:sz w:val="28"/>
          <w:szCs w:val="28"/>
        </w:rPr>
        <w:t xml:space="preserve"> </w:t>
      </w:r>
      <w:r w:rsidRPr="006B32CA">
        <w:rPr>
          <w:rFonts w:ascii="Times New Roman" w:hAnsi="Times New Roman" w:cs="Times New Roman"/>
          <w:sz w:val="28"/>
          <w:szCs w:val="28"/>
        </w:rPr>
        <w:t>года</w:t>
      </w:r>
      <w:r>
        <w:rPr>
          <w:rFonts w:ascii="Times New Roman" w:hAnsi="Times New Roman" w:cs="Times New Roman"/>
          <w:sz w:val="28"/>
          <w:szCs w:val="28"/>
        </w:rPr>
        <w:t xml:space="preserve"> </w:t>
      </w:r>
      <w:r w:rsidRPr="006B32CA">
        <w:rPr>
          <w:rFonts w:ascii="Times New Roman" w:hAnsi="Times New Roman" w:cs="Times New Roman"/>
          <w:sz w:val="28"/>
          <w:szCs w:val="28"/>
        </w:rPr>
        <w:t>повлиял</w:t>
      </w:r>
      <w:r>
        <w:rPr>
          <w:rFonts w:ascii="Times New Roman" w:hAnsi="Times New Roman" w:cs="Times New Roman"/>
          <w:sz w:val="28"/>
          <w:szCs w:val="28"/>
        </w:rPr>
        <w:t xml:space="preserve"> </w:t>
      </w:r>
      <w:r w:rsidRPr="006B32CA">
        <w:rPr>
          <w:rFonts w:ascii="Times New Roman" w:hAnsi="Times New Roman" w:cs="Times New Roman"/>
          <w:sz w:val="28"/>
          <w:szCs w:val="28"/>
        </w:rPr>
        <w:t>на</w:t>
      </w:r>
      <w:r>
        <w:rPr>
          <w:rFonts w:ascii="Times New Roman" w:hAnsi="Times New Roman" w:cs="Times New Roman"/>
          <w:sz w:val="28"/>
          <w:szCs w:val="28"/>
        </w:rPr>
        <w:t xml:space="preserve"> </w:t>
      </w:r>
      <w:r w:rsidRPr="006B32CA">
        <w:rPr>
          <w:rFonts w:ascii="Times New Roman" w:hAnsi="Times New Roman" w:cs="Times New Roman"/>
          <w:sz w:val="28"/>
          <w:szCs w:val="28"/>
        </w:rPr>
        <w:t>темпы</w:t>
      </w:r>
      <w:r>
        <w:rPr>
          <w:rFonts w:ascii="Times New Roman" w:hAnsi="Times New Roman" w:cs="Times New Roman"/>
          <w:sz w:val="28"/>
          <w:szCs w:val="28"/>
        </w:rPr>
        <w:t xml:space="preserve"> </w:t>
      </w:r>
      <w:r w:rsidRPr="006B32CA">
        <w:rPr>
          <w:rFonts w:ascii="Times New Roman" w:hAnsi="Times New Roman" w:cs="Times New Roman"/>
          <w:sz w:val="28"/>
          <w:szCs w:val="28"/>
        </w:rPr>
        <w:t>трансформации</w:t>
      </w:r>
      <w:r>
        <w:rPr>
          <w:rFonts w:ascii="Times New Roman" w:hAnsi="Times New Roman" w:cs="Times New Roman"/>
          <w:sz w:val="28"/>
          <w:szCs w:val="28"/>
        </w:rPr>
        <w:t xml:space="preserve"> </w:t>
      </w:r>
      <w:r w:rsidRPr="006B32CA">
        <w:rPr>
          <w:rFonts w:ascii="Times New Roman" w:hAnsi="Times New Roman" w:cs="Times New Roman"/>
          <w:sz w:val="28"/>
          <w:szCs w:val="28"/>
        </w:rPr>
        <w:t>ESG</w:t>
      </w:r>
      <w:r>
        <w:rPr>
          <w:rFonts w:ascii="Times New Roman" w:hAnsi="Times New Roman" w:cs="Times New Roman"/>
          <w:sz w:val="28"/>
          <w:szCs w:val="28"/>
        </w:rPr>
        <w:t xml:space="preserve"> </w:t>
      </w:r>
      <w:r w:rsidRPr="006B32CA">
        <w:rPr>
          <w:rFonts w:ascii="Times New Roman" w:hAnsi="Times New Roman" w:cs="Times New Roman"/>
          <w:sz w:val="28"/>
          <w:szCs w:val="28"/>
        </w:rPr>
        <w:t>в</w:t>
      </w:r>
      <w:r>
        <w:rPr>
          <w:rFonts w:ascii="Times New Roman" w:hAnsi="Times New Roman" w:cs="Times New Roman"/>
          <w:sz w:val="28"/>
          <w:szCs w:val="28"/>
        </w:rPr>
        <w:t xml:space="preserve"> </w:t>
      </w:r>
      <w:r w:rsidRPr="006B32CA">
        <w:rPr>
          <w:rFonts w:ascii="Times New Roman" w:hAnsi="Times New Roman" w:cs="Times New Roman"/>
          <w:sz w:val="28"/>
          <w:szCs w:val="28"/>
        </w:rPr>
        <w:t>России</w:t>
      </w:r>
      <w:r>
        <w:rPr>
          <w:rFonts w:ascii="Times New Roman" w:hAnsi="Times New Roman" w:cs="Times New Roman"/>
          <w:sz w:val="28"/>
          <w:szCs w:val="28"/>
        </w:rPr>
        <w:t xml:space="preserve"> </w:t>
      </w:r>
      <w:r w:rsidRPr="006B32CA">
        <w:rPr>
          <w:rFonts w:ascii="Times New Roman" w:hAnsi="Times New Roman" w:cs="Times New Roman"/>
          <w:sz w:val="28"/>
          <w:szCs w:val="28"/>
        </w:rPr>
        <w:t>и</w:t>
      </w:r>
      <w:r>
        <w:rPr>
          <w:rFonts w:ascii="Times New Roman" w:hAnsi="Times New Roman" w:cs="Times New Roman"/>
          <w:sz w:val="28"/>
          <w:szCs w:val="28"/>
        </w:rPr>
        <w:t xml:space="preserve"> </w:t>
      </w:r>
      <w:r w:rsidRPr="006B32CA">
        <w:rPr>
          <w:rFonts w:ascii="Times New Roman" w:hAnsi="Times New Roman" w:cs="Times New Roman"/>
          <w:sz w:val="28"/>
          <w:szCs w:val="28"/>
        </w:rPr>
        <w:t>замедлил</w:t>
      </w:r>
      <w:r>
        <w:rPr>
          <w:rFonts w:ascii="Times New Roman" w:hAnsi="Times New Roman" w:cs="Times New Roman"/>
          <w:sz w:val="28"/>
          <w:szCs w:val="28"/>
        </w:rPr>
        <w:t xml:space="preserve"> </w:t>
      </w:r>
      <w:r w:rsidRPr="006B32CA">
        <w:rPr>
          <w:rFonts w:ascii="Times New Roman" w:hAnsi="Times New Roman" w:cs="Times New Roman"/>
          <w:sz w:val="28"/>
          <w:szCs w:val="28"/>
        </w:rPr>
        <w:t>их.</w:t>
      </w:r>
      <w:r w:rsidR="00816D1D" w:rsidRPr="00816D1D">
        <w:rPr>
          <w:rFonts w:ascii="Times New Roman" w:hAnsi="Times New Roman" w:cs="Times New Roman"/>
          <w:sz w:val="28"/>
          <w:szCs w:val="28"/>
        </w:rPr>
        <w:t xml:space="preserve"> Однако, несмотря на геополитические и экономические </w:t>
      </w:r>
      <w:r>
        <w:rPr>
          <w:rFonts w:ascii="Times New Roman" w:hAnsi="Times New Roman" w:cs="Times New Roman"/>
          <w:sz w:val="28"/>
          <w:szCs w:val="28"/>
        </w:rPr>
        <w:t>вызовы</w:t>
      </w:r>
      <w:r w:rsidR="00816D1D" w:rsidRPr="00816D1D">
        <w:rPr>
          <w:rFonts w:ascii="Times New Roman" w:hAnsi="Times New Roman" w:cs="Times New Roman"/>
          <w:sz w:val="28"/>
          <w:szCs w:val="28"/>
        </w:rPr>
        <w:t>, ESG-повестка в</w:t>
      </w:r>
      <w:r w:rsidR="009B0CA9">
        <w:rPr>
          <w:rFonts w:ascii="Times New Roman" w:hAnsi="Times New Roman" w:cs="Times New Roman"/>
          <w:sz w:val="28"/>
          <w:szCs w:val="28"/>
        </w:rPr>
        <w:t xml:space="preserve"> </w:t>
      </w:r>
      <w:r w:rsidR="00816D1D" w:rsidRPr="00816D1D">
        <w:rPr>
          <w:rFonts w:ascii="Times New Roman" w:hAnsi="Times New Roman" w:cs="Times New Roman"/>
          <w:sz w:val="28"/>
          <w:szCs w:val="28"/>
        </w:rPr>
        <w:t xml:space="preserve"> России продолжает укрепляться, о чем свидетельствуют достигнутые соглашения, принятые </w:t>
      </w:r>
      <w:r w:rsidRPr="006B32CA">
        <w:rPr>
          <w:rFonts w:ascii="Times New Roman" w:hAnsi="Times New Roman" w:cs="Times New Roman"/>
          <w:sz w:val="28"/>
          <w:szCs w:val="28"/>
        </w:rPr>
        <w:t>законодательные</w:t>
      </w:r>
      <w:r>
        <w:rPr>
          <w:rFonts w:ascii="Times New Roman" w:hAnsi="Times New Roman" w:cs="Times New Roman"/>
          <w:sz w:val="28"/>
          <w:szCs w:val="28"/>
        </w:rPr>
        <w:t xml:space="preserve"> </w:t>
      </w:r>
      <w:r w:rsidRPr="006B32CA">
        <w:rPr>
          <w:rFonts w:ascii="Times New Roman" w:hAnsi="Times New Roman" w:cs="Times New Roman"/>
          <w:sz w:val="28"/>
          <w:szCs w:val="28"/>
        </w:rPr>
        <w:t>акты</w:t>
      </w:r>
      <w:r>
        <w:rPr>
          <w:rFonts w:ascii="Times New Roman" w:hAnsi="Times New Roman" w:cs="Times New Roman"/>
          <w:sz w:val="28"/>
          <w:szCs w:val="28"/>
        </w:rPr>
        <w:t>,</w:t>
      </w:r>
      <w:r w:rsidR="00816D1D" w:rsidRPr="00816D1D">
        <w:rPr>
          <w:rFonts w:ascii="Times New Roman" w:hAnsi="Times New Roman" w:cs="Times New Roman"/>
          <w:sz w:val="28"/>
          <w:szCs w:val="28"/>
        </w:rPr>
        <w:t xml:space="preserve"> и развитие </w:t>
      </w:r>
      <w:r w:rsidRPr="006B32CA">
        <w:rPr>
          <w:rFonts w:ascii="Times New Roman" w:hAnsi="Times New Roman" w:cs="Times New Roman"/>
          <w:sz w:val="28"/>
          <w:szCs w:val="28"/>
        </w:rPr>
        <w:t>устойчивой</w:t>
      </w:r>
      <w:r>
        <w:rPr>
          <w:rFonts w:ascii="Times New Roman" w:hAnsi="Times New Roman" w:cs="Times New Roman"/>
          <w:sz w:val="28"/>
          <w:szCs w:val="28"/>
        </w:rPr>
        <w:t xml:space="preserve"> </w:t>
      </w:r>
      <w:r w:rsidRPr="006B32CA">
        <w:rPr>
          <w:rFonts w:ascii="Times New Roman" w:hAnsi="Times New Roman" w:cs="Times New Roman"/>
          <w:sz w:val="28"/>
          <w:szCs w:val="28"/>
        </w:rPr>
        <w:t>практики</w:t>
      </w:r>
      <w:r w:rsidR="00816D1D" w:rsidRPr="00816D1D">
        <w:rPr>
          <w:rFonts w:ascii="Times New Roman" w:hAnsi="Times New Roman" w:cs="Times New Roman"/>
          <w:sz w:val="28"/>
          <w:szCs w:val="28"/>
        </w:rPr>
        <w:t xml:space="preserve">: </w:t>
      </w:r>
      <w:r w:rsidR="002D3FD5">
        <w:rPr>
          <w:rFonts w:ascii="Times New Roman" w:hAnsi="Times New Roman" w:cs="Times New Roman"/>
          <w:sz w:val="28"/>
          <w:szCs w:val="28"/>
        </w:rPr>
        <w:t>у</w:t>
      </w:r>
      <w:r w:rsidR="00816D1D" w:rsidRPr="002D3FD5">
        <w:rPr>
          <w:rFonts w:ascii="Times New Roman" w:hAnsi="Times New Roman" w:cs="Times New Roman"/>
          <w:color w:val="000000" w:themeColor="text1"/>
          <w:sz w:val="28"/>
          <w:szCs w:val="28"/>
        </w:rPr>
        <w:t>твержден</w:t>
      </w:r>
      <w:r w:rsidR="0049223B">
        <w:rPr>
          <w:rFonts w:ascii="Times New Roman" w:hAnsi="Times New Roman" w:cs="Times New Roman"/>
          <w:color w:val="000000" w:themeColor="text1"/>
          <w:sz w:val="28"/>
          <w:szCs w:val="28"/>
        </w:rPr>
        <w:t>ы</w:t>
      </w:r>
      <w:r w:rsidR="00816D1D" w:rsidRPr="002D3FD5">
        <w:rPr>
          <w:rFonts w:ascii="Times New Roman" w:hAnsi="Times New Roman" w:cs="Times New Roman"/>
          <w:color w:val="000000" w:themeColor="text1"/>
          <w:sz w:val="28"/>
          <w:szCs w:val="28"/>
        </w:rPr>
        <w:t xml:space="preserve"> зеленый стандарт</w:t>
      </w:r>
      <w:r w:rsidR="0049223B">
        <w:rPr>
          <w:rFonts w:ascii="Times New Roman" w:hAnsi="Times New Roman" w:cs="Times New Roman"/>
          <w:color w:val="000000" w:themeColor="text1"/>
          <w:sz w:val="28"/>
          <w:szCs w:val="28"/>
        </w:rPr>
        <w:t>ы</w:t>
      </w:r>
      <w:r w:rsidR="00816D1D" w:rsidRPr="002D3FD5">
        <w:rPr>
          <w:rFonts w:ascii="Times New Roman" w:hAnsi="Times New Roman" w:cs="Times New Roman"/>
          <w:color w:val="000000" w:themeColor="text1"/>
          <w:sz w:val="28"/>
          <w:szCs w:val="28"/>
        </w:rPr>
        <w:t xml:space="preserve"> строительства многоквартирных жилых домов</w:t>
      </w:r>
      <w:r w:rsidR="002D3F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002D3FD5">
        <w:rPr>
          <w:rFonts w:ascii="Times New Roman" w:hAnsi="Times New Roman" w:cs="Times New Roman"/>
          <w:color w:val="000000" w:themeColor="text1"/>
          <w:sz w:val="28"/>
          <w:szCs w:val="28"/>
        </w:rPr>
        <w:t>Г</w:t>
      </w:r>
      <w:r w:rsidR="00816D1D" w:rsidRPr="002911E2">
        <w:rPr>
          <w:rFonts w:ascii="Times New Roman" w:hAnsi="Times New Roman" w:cs="Times New Roman"/>
          <w:color w:val="000000" w:themeColor="text1"/>
          <w:sz w:val="28"/>
          <w:szCs w:val="28"/>
        </w:rPr>
        <w:t>осдум</w:t>
      </w:r>
      <w:r>
        <w:rPr>
          <w:rFonts w:ascii="Times New Roman" w:hAnsi="Times New Roman" w:cs="Times New Roman"/>
          <w:color w:val="000000" w:themeColor="text1"/>
          <w:sz w:val="28"/>
          <w:szCs w:val="28"/>
        </w:rPr>
        <w:t>е</w:t>
      </w:r>
      <w:r w:rsidR="00816D1D" w:rsidRPr="002911E2">
        <w:rPr>
          <w:rFonts w:ascii="Times New Roman" w:hAnsi="Times New Roman" w:cs="Times New Roman"/>
          <w:color w:val="000000" w:themeColor="text1"/>
          <w:sz w:val="28"/>
          <w:szCs w:val="28"/>
        </w:rPr>
        <w:t xml:space="preserve"> одобр</w:t>
      </w:r>
      <w:r>
        <w:rPr>
          <w:rFonts w:ascii="Times New Roman" w:hAnsi="Times New Roman" w:cs="Times New Roman"/>
          <w:color w:val="000000" w:themeColor="text1"/>
          <w:sz w:val="28"/>
          <w:szCs w:val="28"/>
        </w:rPr>
        <w:t>ен</w:t>
      </w:r>
      <w:r w:rsidR="00816D1D" w:rsidRPr="002911E2">
        <w:rPr>
          <w:rFonts w:ascii="Times New Roman" w:hAnsi="Times New Roman" w:cs="Times New Roman"/>
          <w:color w:val="000000" w:themeColor="text1"/>
          <w:sz w:val="28"/>
          <w:szCs w:val="28"/>
        </w:rPr>
        <w:t xml:space="preserve"> закон о зеленых сертификатах в электроэнергетике</w:t>
      </w:r>
      <w:r w:rsidR="002D3FD5">
        <w:rPr>
          <w:rFonts w:ascii="Times New Roman" w:hAnsi="Times New Roman" w:cs="Times New Roman"/>
          <w:color w:val="000000" w:themeColor="text1"/>
          <w:sz w:val="28"/>
          <w:szCs w:val="28"/>
        </w:rPr>
        <w:t xml:space="preserve">; </w:t>
      </w:r>
      <w:r w:rsidRPr="006B32CA">
        <w:rPr>
          <w:rFonts w:ascii="Times New Roman" w:hAnsi="Times New Roman" w:cs="Times New Roman"/>
          <w:color w:val="000000" w:themeColor="text1"/>
          <w:sz w:val="28"/>
          <w:szCs w:val="28"/>
        </w:rPr>
        <w:t xml:space="preserve">на Сахалине </w:t>
      </w:r>
      <w:r>
        <w:rPr>
          <w:rFonts w:ascii="Times New Roman" w:hAnsi="Times New Roman" w:cs="Times New Roman"/>
          <w:color w:val="000000" w:themeColor="text1"/>
          <w:sz w:val="28"/>
          <w:szCs w:val="28"/>
        </w:rPr>
        <w:t xml:space="preserve">был </w:t>
      </w:r>
      <w:r w:rsidR="00816D1D" w:rsidRPr="002911E2">
        <w:rPr>
          <w:rFonts w:ascii="Times New Roman" w:hAnsi="Times New Roman" w:cs="Times New Roman"/>
          <w:color w:val="000000" w:themeColor="text1"/>
          <w:sz w:val="28"/>
          <w:szCs w:val="28"/>
        </w:rPr>
        <w:t>запущен углеродный рынок</w:t>
      </w:r>
      <w:r w:rsidRPr="006B32CA">
        <w:t xml:space="preserve"> </w:t>
      </w:r>
      <w:r w:rsidRPr="006B32CA">
        <w:rPr>
          <w:rFonts w:ascii="Times New Roman" w:hAnsi="Times New Roman" w:cs="Times New Roman"/>
          <w:color w:val="000000" w:themeColor="text1"/>
          <w:sz w:val="28"/>
          <w:szCs w:val="28"/>
        </w:rPr>
        <w:t>в сентябре</w:t>
      </w:r>
      <w:r w:rsidR="002D3FD5">
        <w:rPr>
          <w:rFonts w:ascii="Times New Roman" w:hAnsi="Times New Roman" w:cs="Times New Roman"/>
          <w:color w:val="000000" w:themeColor="text1"/>
          <w:sz w:val="28"/>
          <w:szCs w:val="28"/>
        </w:rPr>
        <w:t xml:space="preserve">; </w:t>
      </w:r>
      <w:r w:rsidR="00816D1D" w:rsidRPr="002D3FD5">
        <w:rPr>
          <w:rFonts w:ascii="Times New Roman" w:hAnsi="Times New Roman" w:cs="Times New Roman"/>
          <w:color w:val="000000" w:themeColor="text1"/>
          <w:sz w:val="28"/>
          <w:szCs w:val="28"/>
        </w:rPr>
        <w:t>Правительство РФ утвердило доро</w:t>
      </w:r>
      <w:r w:rsidR="002911E2" w:rsidRPr="002D3FD5">
        <w:rPr>
          <w:rFonts w:ascii="Times New Roman" w:hAnsi="Times New Roman" w:cs="Times New Roman"/>
          <w:color w:val="000000" w:themeColor="text1"/>
          <w:sz w:val="28"/>
          <w:szCs w:val="28"/>
        </w:rPr>
        <w:t>ж</w:t>
      </w:r>
      <w:r w:rsidR="00816D1D" w:rsidRPr="002D3FD5">
        <w:rPr>
          <w:rFonts w:ascii="Times New Roman" w:hAnsi="Times New Roman" w:cs="Times New Roman"/>
          <w:color w:val="000000" w:themeColor="text1"/>
          <w:sz w:val="28"/>
          <w:szCs w:val="28"/>
        </w:rPr>
        <w:t xml:space="preserve">ную карту </w:t>
      </w:r>
      <w:r w:rsidR="0049223B">
        <w:rPr>
          <w:rFonts w:ascii="Times New Roman" w:hAnsi="Times New Roman" w:cs="Times New Roman"/>
          <w:color w:val="000000" w:themeColor="text1"/>
          <w:sz w:val="28"/>
          <w:szCs w:val="28"/>
        </w:rPr>
        <w:t xml:space="preserve">по </w:t>
      </w:r>
      <w:r w:rsidR="00816D1D" w:rsidRPr="002D3FD5">
        <w:rPr>
          <w:rFonts w:ascii="Times New Roman" w:hAnsi="Times New Roman" w:cs="Times New Roman"/>
          <w:color w:val="000000" w:themeColor="text1"/>
          <w:sz w:val="28"/>
          <w:szCs w:val="28"/>
        </w:rPr>
        <w:t>развити</w:t>
      </w:r>
      <w:r w:rsidR="0049223B">
        <w:rPr>
          <w:rFonts w:ascii="Times New Roman" w:hAnsi="Times New Roman" w:cs="Times New Roman"/>
          <w:color w:val="000000" w:themeColor="text1"/>
          <w:sz w:val="28"/>
          <w:szCs w:val="28"/>
        </w:rPr>
        <w:t>ю</w:t>
      </w:r>
      <w:r w:rsidR="00816D1D" w:rsidRPr="002D3FD5">
        <w:rPr>
          <w:rFonts w:ascii="Times New Roman" w:hAnsi="Times New Roman" w:cs="Times New Roman"/>
          <w:color w:val="000000" w:themeColor="text1"/>
          <w:sz w:val="28"/>
          <w:szCs w:val="28"/>
        </w:rPr>
        <w:t xml:space="preserve"> накопителей электроэнергии до 2030 года</w:t>
      </w:r>
      <w:r w:rsidR="002D3FD5">
        <w:rPr>
          <w:rFonts w:ascii="Times New Roman" w:hAnsi="Times New Roman" w:cs="Times New Roman"/>
          <w:color w:val="000000" w:themeColor="text1"/>
          <w:sz w:val="28"/>
          <w:szCs w:val="28"/>
        </w:rPr>
        <w:t xml:space="preserve">; </w:t>
      </w:r>
      <w:r w:rsidR="00816D1D" w:rsidRPr="002911E2">
        <w:rPr>
          <w:rFonts w:ascii="Times New Roman" w:hAnsi="Times New Roman" w:cs="Times New Roman"/>
          <w:color w:val="000000" w:themeColor="text1"/>
          <w:sz w:val="28"/>
          <w:szCs w:val="28"/>
        </w:rPr>
        <w:t xml:space="preserve">Правительство РФ </w:t>
      </w:r>
      <w:r w:rsidR="008F7E2E">
        <w:rPr>
          <w:rFonts w:ascii="Times New Roman" w:hAnsi="Times New Roman" w:cs="Times New Roman"/>
          <w:color w:val="000000" w:themeColor="text1"/>
          <w:sz w:val="28"/>
          <w:szCs w:val="28"/>
        </w:rPr>
        <w:t>подготовило</w:t>
      </w:r>
      <w:r w:rsidR="00816D1D" w:rsidRPr="002911E2">
        <w:rPr>
          <w:rFonts w:ascii="Times New Roman" w:hAnsi="Times New Roman" w:cs="Times New Roman"/>
          <w:color w:val="000000" w:themeColor="text1"/>
          <w:sz w:val="28"/>
          <w:szCs w:val="28"/>
        </w:rPr>
        <w:t xml:space="preserve"> проект национальной системы мониторинга парниковых газ</w:t>
      </w:r>
      <w:r w:rsidR="008F7E2E">
        <w:rPr>
          <w:rFonts w:ascii="Times New Roman" w:hAnsi="Times New Roman" w:cs="Times New Roman"/>
          <w:color w:val="000000" w:themeColor="text1"/>
          <w:sz w:val="28"/>
          <w:szCs w:val="28"/>
        </w:rPr>
        <w:t>ов</w:t>
      </w:r>
      <w:r w:rsidR="002D3FD5">
        <w:rPr>
          <w:rFonts w:ascii="Times New Roman" w:hAnsi="Times New Roman" w:cs="Times New Roman"/>
          <w:color w:val="000000" w:themeColor="text1"/>
          <w:sz w:val="28"/>
          <w:szCs w:val="28"/>
        </w:rPr>
        <w:t>; б</w:t>
      </w:r>
      <w:r w:rsidR="00816D1D" w:rsidRPr="002911E2">
        <w:rPr>
          <w:rFonts w:ascii="Times New Roman" w:hAnsi="Times New Roman" w:cs="Times New Roman"/>
          <w:color w:val="000000" w:themeColor="text1"/>
          <w:sz w:val="28"/>
          <w:szCs w:val="28"/>
        </w:rPr>
        <w:t xml:space="preserve">олее 250 компаний воспользовались ESG-продуктами </w:t>
      </w:r>
      <w:proofErr w:type="spellStart"/>
      <w:r w:rsidR="00816D1D" w:rsidRPr="002911E2">
        <w:rPr>
          <w:rFonts w:ascii="Times New Roman" w:hAnsi="Times New Roman" w:cs="Times New Roman"/>
          <w:color w:val="000000" w:themeColor="text1"/>
          <w:sz w:val="28"/>
          <w:szCs w:val="28"/>
        </w:rPr>
        <w:t>Сбера</w:t>
      </w:r>
      <w:proofErr w:type="spellEnd"/>
      <w:r w:rsidR="002D3FD5">
        <w:rPr>
          <w:rFonts w:ascii="Times New Roman" w:hAnsi="Times New Roman" w:cs="Times New Roman"/>
          <w:color w:val="000000" w:themeColor="text1"/>
          <w:sz w:val="28"/>
          <w:szCs w:val="28"/>
        </w:rPr>
        <w:t>; з</w:t>
      </w:r>
      <w:r w:rsidR="00816D1D" w:rsidRPr="002911E2">
        <w:rPr>
          <w:rFonts w:ascii="Times New Roman" w:hAnsi="Times New Roman" w:cs="Times New Roman"/>
          <w:color w:val="000000" w:themeColor="text1"/>
          <w:sz w:val="28"/>
          <w:szCs w:val="28"/>
        </w:rPr>
        <w:t>авершена разработка 10 отраслевых планов адаптации к изменениям климата</w:t>
      </w:r>
      <w:r w:rsidR="002D3FD5">
        <w:rPr>
          <w:rFonts w:ascii="Times New Roman" w:hAnsi="Times New Roman" w:cs="Times New Roman"/>
          <w:color w:val="000000" w:themeColor="text1"/>
          <w:sz w:val="28"/>
          <w:szCs w:val="28"/>
        </w:rPr>
        <w:t>; с</w:t>
      </w:r>
      <w:r w:rsidR="00816D1D" w:rsidRPr="002911E2">
        <w:rPr>
          <w:rFonts w:ascii="Times New Roman" w:hAnsi="Times New Roman" w:cs="Times New Roman"/>
          <w:color w:val="000000" w:themeColor="text1"/>
          <w:sz w:val="28"/>
          <w:szCs w:val="28"/>
        </w:rPr>
        <w:t xml:space="preserve">четная </w:t>
      </w:r>
      <w:r w:rsidR="00816D1D" w:rsidRPr="002911E2">
        <w:rPr>
          <w:rFonts w:ascii="Times New Roman" w:hAnsi="Times New Roman" w:cs="Times New Roman"/>
          <w:color w:val="000000" w:themeColor="text1"/>
          <w:sz w:val="28"/>
          <w:szCs w:val="28"/>
        </w:rPr>
        <w:lastRenderedPageBreak/>
        <w:t>палат сформулировала методические рекомендации для регионов по устойчивому развитию.</w:t>
      </w:r>
    </w:p>
    <w:p w14:paraId="4ED69F2A" w14:textId="75764277" w:rsidR="005B26C3" w:rsidRDefault="00816D1D" w:rsidP="00854F91">
      <w:pPr>
        <w:spacing w:line="288" w:lineRule="auto"/>
        <w:ind w:firstLine="709"/>
        <w:contextualSpacing/>
        <w:jc w:val="both"/>
        <w:rPr>
          <w:rFonts w:ascii="Times New Roman" w:hAnsi="Times New Roman" w:cs="Times New Roman"/>
          <w:sz w:val="28"/>
          <w:szCs w:val="28"/>
        </w:rPr>
      </w:pPr>
      <w:r w:rsidRPr="002911E2">
        <w:rPr>
          <w:rFonts w:ascii="Times New Roman" w:hAnsi="Times New Roman" w:cs="Times New Roman"/>
          <w:sz w:val="28"/>
          <w:szCs w:val="28"/>
        </w:rPr>
        <w:t>В целом</w:t>
      </w:r>
      <w:r w:rsidR="008F7E2E">
        <w:rPr>
          <w:rFonts w:ascii="Times New Roman" w:hAnsi="Times New Roman" w:cs="Times New Roman"/>
          <w:sz w:val="28"/>
          <w:szCs w:val="28"/>
        </w:rPr>
        <w:t xml:space="preserve"> </w:t>
      </w:r>
      <w:r w:rsidRPr="002911E2">
        <w:rPr>
          <w:rFonts w:ascii="Times New Roman" w:hAnsi="Times New Roman" w:cs="Times New Roman"/>
          <w:sz w:val="28"/>
          <w:szCs w:val="28"/>
        </w:rPr>
        <w:t xml:space="preserve">2022 год демонстрирует, что </w:t>
      </w:r>
      <w:r w:rsidR="006B32CA" w:rsidRPr="006B32CA">
        <w:rPr>
          <w:rFonts w:ascii="Times New Roman" w:hAnsi="Times New Roman" w:cs="Times New Roman"/>
          <w:sz w:val="28"/>
          <w:szCs w:val="28"/>
        </w:rPr>
        <w:t>ESG</w:t>
      </w:r>
      <w:r w:rsidR="006B32CA">
        <w:rPr>
          <w:rFonts w:ascii="Times New Roman" w:hAnsi="Times New Roman" w:cs="Times New Roman"/>
          <w:sz w:val="28"/>
          <w:szCs w:val="28"/>
        </w:rPr>
        <w:t>-</w:t>
      </w:r>
      <w:r w:rsidRPr="002911E2">
        <w:rPr>
          <w:rFonts w:ascii="Times New Roman" w:hAnsi="Times New Roman" w:cs="Times New Roman"/>
          <w:sz w:val="28"/>
          <w:szCs w:val="28"/>
        </w:rPr>
        <w:t>повестка продолжает развиваться в России, прежде всего благодаря воле участников и осознание того</w:t>
      </w:r>
      <w:r w:rsidR="00671E0B">
        <w:rPr>
          <w:rFonts w:ascii="Times New Roman" w:hAnsi="Times New Roman" w:cs="Times New Roman"/>
          <w:sz w:val="28"/>
          <w:szCs w:val="28"/>
        </w:rPr>
        <w:t xml:space="preserve"> </w:t>
      </w:r>
      <w:r w:rsidRPr="002911E2">
        <w:rPr>
          <w:rFonts w:ascii="Times New Roman" w:hAnsi="Times New Roman" w:cs="Times New Roman"/>
          <w:sz w:val="28"/>
          <w:szCs w:val="28"/>
        </w:rPr>
        <w:t>факта, что ESG – это не про формальное соблюдение требований</w:t>
      </w:r>
      <w:r w:rsidR="002911E2">
        <w:rPr>
          <w:rFonts w:ascii="Times New Roman" w:hAnsi="Times New Roman" w:cs="Times New Roman"/>
          <w:sz w:val="28"/>
          <w:szCs w:val="28"/>
        </w:rPr>
        <w:t xml:space="preserve"> </w:t>
      </w:r>
      <w:r w:rsidRPr="002911E2">
        <w:rPr>
          <w:rFonts w:ascii="Times New Roman" w:hAnsi="Times New Roman" w:cs="Times New Roman"/>
          <w:sz w:val="28"/>
          <w:szCs w:val="28"/>
        </w:rPr>
        <w:t>иностранных кредиторов, а это про будущее – чистый воздух</w:t>
      </w:r>
      <w:r w:rsidR="0056441C">
        <w:rPr>
          <w:rFonts w:ascii="Times New Roman" w:hAnsi="Times New Roman" w:cs="Times New Roman"/>
          <w:sz w:val="28"/>
          <w:szCs w:val="28"/>
        </w:rPr>
        <w:t xml:space="preserve">, </w:t>
      </w:r>
      <w:r w:rsidRPr="002911E2">
        <w:rPr>
          <w:rFonts w:ascii="Times New Roman" w:hAnsi="Times New Roman" w:cs="Times New Roman"/>
          <w:sz w:val="28"/>
          <w:szCs w:val="28"/>
        </w:rPr>
        <w:t xml:space="preserve">воду, </w:t>
      </w:r>
      <w:r w:rsidR="0056441C" w:rsidRPr="0056441C">
        <w:rPr>
          <w:rFonts w:ascii="Times New Roman" w:hAnsi="Times New Roman" w:cs="Times New Roman"/>
          <w:sz w:val="28"/>
          <w:szCs w:val="28"/>
        </w:rPr>
        <w:t>энергоэффективность жилых комплексов</w:t>
      </w:r>
      <w:r w:rsidR="0056441C">
        <w:rPr>
          <w:rFonts w:ascii="Times New Roman" w:hAnsi="Times New Roman" w:cs="Times New Roman"/>
          <w:sz w:val="28"/>
          <w:szCs w:val="28"/>
        </w:rPr>
        <w:t>,</w:t>
      </w:r>
      <w:r w:rsidR="0056441C" w:rsidRPr="0056441C">
        <w:rPr>
          <w:rFonts w:ascii="Times New Roman" w:hAnsi="Times New Roman" w:cs="Times New Roman"/>
          <w:sz w:val="28"/>
          <w:szCs w:val="28"/>
        </w:rPr>
        <w:t xml:space="preserve"> </w:t>
      </w:r>
      <w:r w:rsidRPr="002911E2">
        <w:rPr>
          <w:rFonts w:ascii="Times New Roman" w:hAnsi="Times New Roman" w:cs="Times New Roman"/>
          <w:sz w:val="28"/>
          <w:szCs w:val="28"/>
        </w:rPr>
        <w:t xml:space="preserve">правильное обращение с отходами, </w:t>
      </w:r>
      <w:r w:rsidR="00891691">
        <w:rPr>
          <w:rFonts w:ascii="Times New Roman" w:hAnsi="Times New Roman" w:cs="Times New Roman"/>
          <w:sz w:val="28"/>
          <w:szCs w:val="28"/>
        </w:rPr>
        <w:t>внимание к</w:t>
      </w:r>
      <w:r w:rsidRPr="002911E2">
        <w:rPr>
          <w:rFonts w:ascii="Times New Roman" w:hAnsi="Times New Roman" w:cs="Times New Roman"/>
          <w:sz w:val="28"/>
          <w:szCs w:val="28"/>
        </w:rPr>
        <w:t xml:space="preserve"> </w:t>
      </w:r>
      <w:r w:rsidR="005B26C3" w:rsidRPr="002911E2">
        <w:rPr>
          <w:rFonts w:ascii="Times New Roman" w:hAnsi="Times New Roman" w:cs="Times New Roman"/>
          <w:sz w:val="28"/>
          <w:szCs w:val="28"/>
        </w:rPr>
        <w:t>благополуч</w:t>
      </w:r>
      <w:r w:rsidR="005B26C3">
        <w:rPr>
          <w:rFonts w:ascii="Times New Roman" w:hAnsi="Times New Roman" w:cs="Times New Roman"/>
          <w:sz w:val="28"/>
          <w:szCs w:val="28"/>
        </w:rPr>
        <w:t>ию</w:t>
      </w:r>
      <w:r w:rsidRPr="002911E2">
        <w:rPr>
          <w:rFonts w:ascii="Times New Roman" w:hAnsi="Times New Roman" w:cs="Times New Roman"/>
          <w:sz w:val="28"/>
          <w:szCs w:val="28"/>
        </w:rPr>
        <w:t xml:space="preserve"> и здоровь</w:t>
      </w:r>
      <w:r w:rsidR="00891691">
        <w:rPr>
          <w:rFonts w:ascii="Times New Roman" w:hAnsi="Times New Roman" w:cs="Times New Roman"/>
          <w:sz w:val="28"/>
          <w:szCs w:val="28"/>
        </w:rPr>
        <w:t>ю</w:t>
      </w:r>
      <w:r w:rsidRPr="002911E2">
        <w:rPr>
          <w:rFonts w:ascii="Times New Roman" w:hAnsi="Times New Roman" w:cs="Times New Roman"/>
          <w:sz w:val="28"/>
          <w:szCs w:val="28"/>
        </w:rPr>
        <w:t xml:space="preserve"> населения.  </w:t>
      </w:r>
      <w:r w:rsidR="0056441C" w:rsidRPr="0056441C">
        <w:rPr>
          <w:rFonts w:ascii="Times New Roman" w:hAnsi="Times New Roman" w:cs="Times New Roman"/>
          <w:sz w:val="28"/>
          <w:szCs w:val="28"/>
        </w:rPr>
        <w:t>Позиция</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государства сыграла важную</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роль в достижении</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этих</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целей.</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Государство</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не отказалось от</w:t>
      </w:r>
      <w:r w:rsidR="0056441C">
        <w:rPr>
          <w:rFonts w:ascii="Times New Roman" w:hAnsi="Times New Roman" w:cs="Times New Roman"/>
          <w:sz w:val="28"/>
          <w:szCs w:val="28"/>
        </w:rPr>
        <w:t xml:space="preserve"> уже </w:t>
      </w:r>
      <w:r w:rsidR="0056441C" w:rsidRPr="0056441C">
        <w:rPr>
          <w:rFonts w:ascii="Times New Roman" w:hAnsi="Times New Roman" w:cs="Times New Roman"/>
          <w:sz w:val="28"/>
          <w:szCs w:val="28"/>
        </w:rPr>
        <w:t>реализ</w:t>
      </w:r>
      <w:r w:rsidR="0056441C">
        <w:rPr>
          <w:rFonts w:ascii="Times New Roman" w:hAnsi="Times New Roman" w:cs="Times New Roman"/>
          <w:sz w:val="28"/>
          <w:szCs w:val="28"/>
        </w:rPr>
        <w:t xml:space="preserve">уемых </w:t>
      </w:r>
      <w:r w:rsidR="0056441C" w:rsidRPr="0056441C">
        <w:rPr>
          <w:rFonts w:ascii="Times New Roman" w:hAnsi="Times New Roman" w:cs="Times New Roman"/>
          <w:sz w:val="28"/>
          <w:szCs w:val="28"/>
        </w:rPr>
        <w:t>проектов и не изменило своей риторики в отношении</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программы</w:t>
      </w:r>
      <w:r w:rsidR="0056441C">
        <w:rPr>
          <w:rFonts w:ascii="Times New Roman" w:hAnsi="Times New Roman" w:cs="Times New Roman"/>
          <w:sz w:val="28"/>
          <w:szCs w:val="28"/>
        </w:rPr>
        <w:t xml:space="preserve"> </w:t>
      </w:r>
      <w:r w:rsidR="0056441C" w:rsidRPr="0056441C">
        <w:rPr>
          <w:rFonts w:ascii="Times New Roman" w:hAnsi="Times New Roman" w:cs="Times New Roman"/>
          <w:sz w:val="28"/>
          <w:szCs w:val="28"/>
        </w:rPr>
        <w:t>устойчивого развития.</w:t>
      </w:r>
      <w:r w:rsidR="005B26C3">
        <w:rPr>
          <w:rFonts w:ascii="Times New Roman" w:hAnsi="Times New Roman" w:cs="Times New Roman"/>
          <w:sz w:val="28"/>
          <w:szCs w:val="28"/>
        </w:rPr>
        <w:t xml:space="preserve"> </w:t>
      </w:r>
    </w:p>
    <w:p w14:paraId="6B1EB28B" w14:textId="00F840B2" w:rsidR="00816D1D" w:rsidRPr="00816D1D" w:rsidRDefault="00816D1D" w:rsidP="00854F91">
      <w:pPr>
        <w:spacing w:line="288" w:lineRule="auto"/>
        <w:ind w:firstLine="709"/>
        <w:contextualSpacing/>
        <w:jc w:val="both"/>
        <w:rPr>
          <w:rFonts w:ascii="Times New Roman" w:hAnsi="Times New Roman" w:cs="Times New Roman"/>
          <w:sz w:val="28"/>
          <w:szCs w:val="28"/>
        </w:rPr>
      </w:pPr>
      <w:r w:rsidRPr="00816D1D">
        <w:rPr>
          <w:rFonts w:ascii="Times New Roman" w:hAnsi="Times New Roman" w:cs="Times New Roman"/>
          <w:sz w:val="28"/>
          <w:szCs w:val="28"/>
        </w:rPr>
        <w:t xml:space="preserve">Подведем первые итоги 2023 года в области устойчивого развития. </w:t>
      </w:r>
    </w:p>
    <w:p w14:paraId="13B46381" w14:textId="693E3423" w:rsidR="00816D1D" w:rsidRPr="00816D1D" w:rsidRDefault="00E410A5" w:rsidP="002F2466">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первом</w:t>
      </w:r>
      <w:r w:rsidR="00854F91">
        <w:rPr>
          <w:rFonts w:ascii="Times New Roman" w:hAnsi="Times New Roman" w:cs="Times New Roman"/>
          <w:sz w:val="28"/>
          <w:szCs w:val="28"/>
        </w:rPr>
        <w:t xml:space="preserve"> полугоди</w:t>
      </w:r>
      <w:r>
        <w:rPr>
          <w:rFonts w:ascii="Times New Roman" w:hAnsi="Times New Roman" w:cs="Times New Roman"/>
          <w:sz w:val="28"/>
          <w:szCs w:val="28"/>
        </w:rPr>
        <w:t>и</w:t>
      </w:r>
      <w:r w:rsidR="00816D1D" w:rsidRPr="00816D1D">
        <w:rPr>
          <w:rFonts w:ascii="Times New Roman" w:hAnsi="Times New Roman" w:cs="Times New Roman"/>
          <w:sz w:val="28"/>
          <w:szCs w:val="28"/>
        </w:rPr>
        <w:t xml:space="preserve"> 2023 год</w:t>
      </w:r>
      <w:r w:rsidR="00854F91">
        <w:rPr>
          <w:rFonts w:ascii="Times New Roman" w:hAnsi="Times New Roman" w:cs="Times New Roman"/>
          <w:sz w:val="28"/>
          <w:szCs w:val="28"/>
        </w:rPr>
        <w:t>а</w:t>
      </w:r>
      <w:r w:rsidR="00816D1D" w:rsidRPr="00816D1D">
        <w:rPr>
          <w:rFonts w:ascii="Times New Roman" w:hAnsi="Times New Roman" w:cs="Times New Roman"/>
          <w:sz w:val="28"/>
          <w:szCs w:val="28"/>
        </w:rPr>
        <w:t xml:space="preserve"> </w:t>
      </w:r>
      <w:r>
        <w:rPr>
          <w:rFonts w:ascii="Times New Roman" w:hAnsi="Times New Roman" w:cs="Times New Roman"/>
          <w:sz w:val="28"/>
          <w:szCs w:val="28"/>
        </w:rPr>
        <w:t>пять</w:t>
      </w:r>
      <w:r w:rsidR="00816D1D" w:rsidRPr="00816D1D">
        <w:rPr>
          <w:rFonts w:ascii="Times New Roman" w:hAnsi="Times New Roman" w:cs="Times New Roman"/>
          <w:sz w:val="28"/>
          <w:szCs w:val="28"/>
        </w:rPr>
        <w:t xml:space="preserve"> российских эмитентов осуществили </w:t>
      </w:r>
      <w:r>
        <w:rPr>
          <w:rFonts w:ascii="Times New Roman" w:hAnsi="Times New Roman" w:cs="Times New Roman"/>
          <w:sz w:val="28"/>
          <w:szCs w:val="28"/>
        </w:rPr>
        <w:t>пять</w:t>
      </w:r>
      <w:r w:rsidR="00816D1D" w:rsidRPr="00816D1D">
        <w:rPr>
          <w:rFonts w:ascii="Times New Roman" w:hAnsi="Times New Roman" w:cs="Times New Roman"/>
          <w:sz w:val="28"/>
          <w:szCs w:val="28"/>
        </w:rPr>
        <w:t xml:space="preserve"> выпусков облигаций в формате устойчивого развития суммарным объемом более 28 млрд руб.  Всего за период 2018 - 2023 </w:t>
      </w:r>
      <w:proofErr w:type="spellStart"/>
      <w:r w:rsidR="00816D1D" w:rsidRPr="00816D1D">
        <w:rPr>
          <w:rFonts w:ascii="Times New Roman" w:hAnsi="Times New Roman" w:cs="Times New Roman"/>
          <w:sz w:val="28"/>
          <w:szCs w:val="28"/>
        </w:rPr>
        <w:t>гг</w:t>
      </w:r>
      <w:proofErr w:type="spellEnd"/>
      <w:r w:rsidR="00816D1D" w:rsidRPr="00816D1D">
        <w:rPr>
          <w:rFonts w:ascii="Times New Roman" w:hAnsi="Times New Roman" w:cs="Times New Roman"/>
          <w:sz w:val="28"/>
          <w:szCs w:val="28"/>
        </w:rPr>
        <w:t xml:space="preserve"> 24 эмитента осуществили 45 выпусков зеленых, социальных и адаптационных облигаций суммарным объемом 552,57 млрд руб</w:t>
      </w:r>
      <w:r w:rsidR="00BD3C02">
        <w:rPr>
          <w:rFonts w:ascii="Times New Roman" w:hAnsi="Times New Roman" w:cs="Times New Roman"/>
          <w:sz w:val="28"/>
          <w:szCs w:val="28"/>
        </w:rPr>
        <w:t xml:space="preserve">. </w:t>
      </w:r>
      <w:r w:rsidR="00BD3C02" w:rsidRPr="00D246CD">
        <w:rPr>
          <w:rFonts w:ascii="Times New Roman" w:hAnsi="Times New Roman" w:cs="Times New Roman"/>
          <w:color w:val="000000" w:themeColor="text1"/>
          <w:sz w:val="28"/>
          <w:szCs w:val="28"/>
        </w:rPr>
        <w:t>[</w:t>
      </w:r>
      <w:r w:rsidR="004E44C8">
        <w:rPr>
          <w:rFonts w:ascii="Times New Roman" w:hAnsi="Times New Roman" w:cs="Times New Roman"/>
          <w:color w:val="000000" w:themeColor="text1"/>
          <w:sz w:val="28"/>
          <w:szCs w:val="28"/>
        </w:rPr>
        <w:t>4</w:t>
      </w:r>
      <w:r w:rsidR="00BD3C02" w:rsidRPr="00D246CD">
        <w:rPr>
          <w:rFonts w:ascii="Times New Roman" w:hAnsi="Times New Roman" w:cs="Times New Roman"/>
          <w:color w:val="000000" w:themeColor="text1"/>
          <w:sz w:val="28"/>
          <w:szCs w:val="28"/>
        </w:rPr>
        <w:t>]</w:t>
      </w:r>
      <w:r w:rsidR="00816D1D" w:rsidRPr="00816D1D">
        <w:rPr>
          <w:rFonts w:ascii="Times New Roman" w:hAnsi="Times New Roman" w:cs="Times New Roman"/>
          <w:sz w:val="28"/>
          <w:szCs w:val="28"/>
        </w:rPr>
        <w:t xml:space="preserve">. </w:t>
      </w:r>
    </w:p>
    <w:p w14:paraId="0A59F9A6" w14:textId="6170C3D6" w:rsidR="00816D1D" w:rsidRPr="00816D1D" w:rsidRDefault="00581B2E" w:rsidP="002F2466">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Тенденции </w:t>
      </w:r>
      <w:r w:rsidR="00816D1D" w:rsidRPr="00816D1D">
        <w:rPr>
          <w:rFonts w:ascii="Times New Roman" w:hAnsi="Times New Roman" w:cs="Times New Roman"/>
          <w:sz w:val="28"/>
          <w:szCs w:val="28"/>
        </w:rPr>
        <w:t>ESG-повестк</w:t>
      </w:r>
      <w:r>
        <w:rPr>
          <w:rFonts w:ascii="Times New Roman" w:hAnsi="Times New Roman" w:cs="Times New Roman"/>
          <w:sz w:val="28"/>
          <w:szCs w:val="28"/>
        </w:rPr>
        <w:t>и</w:t>
      </w:r>
      <w:r w:rsidR="00816D1D" w:rsidRPr="00816D1D">
        <w:rPr>
          <w:rFonts w:ascii="Times New Roman" w:hAnsi="Times New Roman" w:cs="Times New Roman"/>
          <w:sz w:val="28"/>
          <w:szCs w:val="28"/>
        </w:rPr>
        <w:t xml:space="preserve"> в 2023 году: </w:t>
      </w:r>
    </w:p>
    <w:p w14:paraId="192271C5" w14:textId="2EFF6C65" w:rsidR="00581B2E" w:rsidRDefault="00816D1D" w:rsidP="002F2466">
      <w:pPr>
        <w:pStyle w:val="a6"/>
        <w:numPr>
          <w:ilvl w:val="0"/>
          <w:numId w:val="11"/>
        </w:numPr>
        <w:spacing w:after="0" w:line="288" w:lineRule="auto"/>
        <w:ind w:left="0" w:firstLine="709"/>
        <w:jc w:val="both"/>
        <w:rPr>
          <w:rFonts w:ascii="Times New Roman" w:hAnsi="Times New Roman" w:cs="Times New Roman"/>
          <w:sz w:val="28"/>
          <w:szCs w:val="28"/>
        </w:rPr>
      </w:pPr>
      <w:r w:rsidRPr="00581B2E">
        <w:rPr>
          <w:rFonts w:ascii="Times New Roman" w:hAnsi="Times New Roman" w:cs="Times New Roman"/>
          <w:color w:val="000000" w:themeColor="text1"/>
          <w:sz w:val="28"/>
          <w:szCs w:val="28"/>
        </w:rPr>
        <w:t xml:space="preserve">РБК и НКР </w:t>
      </w:r>
      <w:r w:rsidR="00B4652A">
        <w:rPr>
          <w:rFonts w:ascii="Times New Roman" w:hAnsi="Times New Roman" w:cs="Times New Roman"/>
          <w:color w:val="000000" w:themeColor="text1"/>
          <w:sz w:val="28"/>
          <w:szCs w:val="28"/>
        </w:rPr>
        <w:t>начали применять</w:t>
      </w:r>
      <w:r w:rsidRPr="00581B2E">
        <w:rPr>
          <w:rFonts w:ascii="Times New Roman" w:hAnsi="Times New Roman" w:cs="Times New Roman"/>
          <w:color w:val="000000" w:themeColor="text1"/>
          <w:sz w:val="28"/>
          <w:szCs w:val="28"/>
        </w:rPr>
        <w:t xml:space="preserve"> второй ESG-индекс российских компаний</w:t>
      </w:r>
      <w:r w:rsidR="00581B2E" w:rsidRPr="00581B2E">
        <w:rPr>
          <w:rFonts w:ascii="Times New Roman" w:hAnsi="Times New Roman" w:cs="Times New Roman"/>
          <w:color w:val="000000" w:themeColor="text1"/>
          <w:sz w:val="28"/>
          <w:szCs w:val="28"/>
        </w:rPr>
        <w:t xml:space="preserve">. </w:t>
      </w:r>
      <w:r w:rsidR="0054049D" w:rsidRPr="0054049D">
        <w:rPr>
          <w:rFonts w:ascii="Times New Roman" w:hAnsi="Times New Roman" w:cs="Times New Roman"/>
          <w:sz w:val="28"/>
          <w:szCs w:val="28"/>
        </w:rPr>
        <w:t>Методика</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оценки</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компаний</w:t>
      </w:r>
      <w:r w:rsidR="0054049D">
        <w:rPr>
          <w:rFonts w:ascii="Times New Roman" w:hAnsi="Times New Roman" w:cs="Times New Roman"/>
          <w:sz w:val="28"/>
          <w:szCs w:val="28"/>
        </w:rPr>
        <w:t>–</w:t>
      </w:r>
      <w:r w:rsidR="0054049D" w:rsidRPr="0054049D">
        <w:rPr>
          <w:rFonts w:ascii="Times New Roman" w:hAnsi="Times New Roman" w:cs="Times New Roman"/>
          <w:sz w:val="28"/>
          <w:szCs w:val="28"/>
        </w:rPr>
        <w:t>участников</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была</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скорректирована</w:t>
      </w:r>
      <w:r w:rsidRPr="00581B2E">
        <w:rPr>
          <w:rFonts w:ascii="Times New Roman" w:hAnsi="Times New Roman" w:cs="Times New Roman"/>
          <w:sz w:val="28"/>
          <w:szCs w:val="28"/>
        </w:rPr>
        <w:t xml:space="preserve"> в 2023 г с учетом результатов </w:t>
      </w:r>
      <w:r w:rsidR="004A321C">
        <w:rPr>
          <w:rFonts w:ascii="Times New Roman" w:hAnsi="Times New Roman" w:cs="Times New Roman"/>
          <w:sz w:val="28"/>
          <w:szCs w:val="28"/>
        </w:rPr>
        <w:t>прошлого года</w:t>
      </w:r>
      <w:r w:rsidRPr="00581B2E">
        <w:rPr>
          <w:rFonts w:ascii="Times New Roman" w:hAnsi="Times New Roman" w:cs="Times New Roman"/>
          <w:sz w:val="28"/>
          <w:szCs w:val="28"/>
        </w:rPr>
        <w:t xml:space="preserve">. </w:t>
      </w:r>
      <w:r w:rsidR="0054049D">
        <w:rPr>
          <w:rFonts w:ascii="Times New Roman" w:hAnsi="Times New Roman" w:cs="Times New Roman"/>
          <w:sz w:val="28"/>
          <w:szCs w:val="28"/>
        </w:rPr>
        <w:t>Так,</w:t>
      </w:r>
      <w:r w:rsidR="007077B3">
        <w:rPr>
          <w:rFonts w:ascii="Times New Roman" w:hAnsi="Times New Roman" w:cs="Times New Roman"/>
          <w:sz w:val="28"/>
          <w:szCs w:val="28"/>
        </w:rPr>
        <w:t xml:space="preserve"> </w:t>
      </w:r>
      <w:r w:rsidR="007077B3" w:rsidRPr="007077B3">
        <w:rPr>
          <w:rFonts w:ascii="Times New Roman" w:hAnsi="Times New Roman" w:cs="Times New Roman"/>
          <w:sz w:val="28"/>
          <w:szCs w:val="28"/>
        </w:rPr>
        <w:t>финансовые</w:t>
      </w:r>
      <w:r w:rsidR="007077B3">
        <w:rPr>
          <w:rFonts w:ascii="Times New Roman" w:hAnsi="Times New Roman" w:cs="Times New Roman"/>
          <w:sz w:val="28"/>
          <w:szCs w:val="28"/>
        </w:rPr>
        <w:t xml:space="preserve"> </w:t>
      </w:r>
      <w:r w:rsidR="007077B3" w:rsidRPr="007077B3">
        <w:rPr>
          <w:rFonts w:ascii="Times New Roman" w:hAnsi="Times New Roman" w:cs="Times New Roman"/>
          <w:sz w:val="28"/>
          <w:szCs w:val="28"/>
        </w:rPr>
        <w:t>организации</w:t>
      </w:r>
      <w:r w:rsidR="007077B3">
        <w:rPr>
          <w:rFonts w:ascii="Times New Roman" w:hAnsi="Times New Roman" w:cs="Times New Roman"/>
          <w:sz w:val="28"/>
          <w:szCs w:val="28"/>
        </w:rPr>
        <w:t xml:space="preserve"> </w:t>
      </w:r>
      <w:r w:rsidR="0054049D">
        <w:rPr>
          <w:rFonts w:ascii="Times New Roman" w:hAnsi="Times New Roman" w:cs="Times New Roman"/>
          <w:sz w:val="28"/>
          <w:szCs w:val="28"/>
        </w:rPr>
        <w:t xml:space="preserve">были </w:t>
      </w:r>
      <w:r w:rsidR="007077B3" w:rsidRPr="007077B3">
        <w:rPr>
          <w:rFonts w:ascii="Times New Roman" w:hAnsi="Times New Roman" w:cs="Times New Roman"/>
          <w:sz w:val="28"/>
          <w:szCs w:val="28"/>
        </w:rPr>
        <w:t>вынесены</w:t>
      </w:r>
      <w:r w:rsidR="007077B3">
        <w:rPr>
          <w:rFonts w:ascii="Times New Roman" w:hAnsi="Times New Roman" w:cs="Times New Roman"/>
          <w:sz w:val="28"/>
          <w:szCs w:val="28"/>
        </w:rPr>
        <w:t xml:space="preserve"> </w:t>
      </w:r>
      <w:r w:rsidRPr="00581B2E">
        <w:rPr>
          <w:rFonts w:ascii="Times New Roman" w:hAnsi="Times New Roman" w:cs="Times New Roman"/>
          <w:sz w:val="28"/>
          <w:szCs w:val="28"/>
        </w:rPr>
        <w:t>в отдельный раздел оценки</w:t>
      </w:r>
      <w:r w:rsidR="0054049D">
        <w:rPr>
          <w:rFonts w:ascii="Times New Roman" w:hAnsi="Times New Roman" w:cs="Times New Roman"/>
          <w:sz w:val="28"/>
          <w:szCs w:val="28"/>
        </w:rPr>
        <w:t>, чтобы лучше учесть</w:t>
      </w:r>
      <w:r w:rsidRPr="00581B2E">
        <w:rPr>
          <w:rFonts w:ascii="Times New Roman" w:hAnsi="Times New Roman" w:cs="Times New Roman"/>
          <w:sz w:val="28"/>
          <w:szCs w:val="28"/>
        </w:rPr>
        <w:t xml:space="preserve"> специфик</w:t>
      </w:r>
      <w:r w:rsidR="0054049D">
        <w:rPr>
          <w:rFonts w:ascii="Times New Roman" w:hAnsi="Times New Roman" w:cs="Times New Roman"/>
          <w:sz w:val="28"/>
          <w:szCs w:val="28"/>
        </w:rPr>
        <w:t>у</w:t>
      </w:r>
      <w:r w:rsidR="00B70564">
        <w:rPr>
          <w:rFonts w:ascii="Times New Roman" w:hAnsi="Times New Roman" w:cs="Times New Roman"/>
          <w:sz w:val="28"/>
          <w:szCs w:val="28"/>
        </w:rPr>
        <w:t xml:space="preserve"> </w:t>
      </w:r>
      <w:r w:rsidRPr="00581B2E">
        <w:rPr>
          <w:rFonts w:ascii="Times New Roman" w:hAnsi="Times New Roman" w:cs="Times New Roman"/>
          <w:sz w:val="28"/>
          <w:szCs w:val="28"/>
        </w:rPr>
        <w:t>их деятельности в области ESG.</w:t>
      </w:r>
      <w:r w:rsidR="00F55C79">
        <w:rPr>
          <w:rFonts w:ascii="Times New Roman" w:hAnsi="Times New Roman" w:cs="Times New Roman"/>
          <w:sz w:val="28"/>
          <w:szCs w:val="28"/>
        </w:rPr>
        <w:t xml:space="preserve"> </w:t>
      </w:r>
      <w:r w:rsidRPr="00581B2E">
        <w:rPr>
          <w:rFonts w:ascii="Times New Roman" w:hAnsi="Times New Roman" w:cs="Times New Roman"/>
          <w:sz w:val="28"/>
          <w:szCs w:val="28"/>
        </w:rPr>
        <w:t xml:space="preserve">Экологическая составляющая </w:t>
      </w:r>
      <w:r w:rsidR="00F55C79">
        <w:rPr>
          <w:rFonts w:ascii="Times New Roman" w:hAnsi="Times New Roman" w:cs="Times New Roman"/>
          <w:sz w:val="28"/>
          <w:szCs w:val="28"/>
        </w:rPr>
        <w:t xml:space="preserve">нового </w:t>
      </w:r>
      <w:r w:rsidRPr="00581B2E">
        <w:rPr>
          <w:rFonts w:ascii="Times New Roman" w:hAnsi="Times New Roman" w:cs="Times New Roman"/>
          <w:sz w:val="28"/>
          <w:szCs w:val="28"/>
        </w:rPr>
        <w:t xml:space="preserve">индекса фокусируется на показателях </w:t>
      </w:r>
      <w:r w:rsidR="00377C49">
        <w:rPr>
          <w:rFonts w:ascii="Times New Roman" w:hAnsi="Times New Roman" w:cs="Times New Roman"/>
          <w:sz w:val="28"/>
          <w:szCs w:val="28"/>
        </w:rPr>
        <w:t>выбросов</w:t>
      </w:r>
      <w:r w:rsidRPr="00581B2E">
        <w:rPr>
          <w:rFonts w:ascii="Times New Roman" w:hAnsi="Times New Roman" w:cs="Times New Roman"/>
          <w:sz w:val="28"/>
          <w:szCs w:val="28"/>
        </w:rPr>
        <w:t xml:space="preserve"> вредных веществ, </w:t>
      </w:r>
      <w:r w:rsidR="00377C49">
        <w:rPr>
          <w:rFonts w:ascii="Times New Roman" w:hAnsi="Times New Roman" w:cs="Times New Roman"/>
          <w:sz w:val="28"/>
          <w:szCs w:val="28"/>
        </w:rPr>
        <w:t>восстановлении</w:t>
      </w:r>
      <w:r w:rsidRPr="00581B2E">
        <w:rPr>
          <w:rFonts w:ascii="Times New Roman" w:hAnsi="Times New Roman" w:cs="Times New Roman"/>
          <w:sz w:val="28"/>
          <w:szCs w:val="28"/>
        </w:rPr>
        <w:t xml:space="preserve"> природных ресурсов</w:t>
      </w:r>
      <w:r w:rsidR="00377C49">
        <w:rPr>
          <w:rFonts w:ascii="Times New Roman" w:hAnsi="Times New Roman" w:cs="Times New Roman"/>
          <w:sz w:val="28"/>
          <w:szCs w:val="28"/>
        </w:rPr>
        <w:t xml:space="preserve"> и </w:t>
      </w:r>
      <w:r w:rsidRPr="00581B2E">
        <w:rPr>
          <w:rFonts w:ascii="Times New Roman" w:hAnsi="Times New Roman" w:cs="Times New Roman"/>
          <w:sz w:val="28"/>
          <w:szCs w:val="28"/>
        </w:rPr>
        <w:t>инвести</w:t>
      </w:r>
      <w:r w:rsidR="00377C49">
        <w:rPr>
          <w:rFonts w:ascii="Times New Roman" w:hAnsi="Times New Roman" w:cs="Times New Roman"/>
          <w:sz w:val="28"/>
          <w:szCs w:val="28"/>
        </w:rPr>
        <w:t>циях</w:t>
      </w:r>
      <w:r w:rsidRPr="00581B2E">
        <w:rPr>
          <w:rFonts w:ascii="Times New Roman" w:hAnsi="Times New Roman" w:cs="Times New Roman"/>
          <w:sz w:val="28"/>
          <w:szCs w:val="28"/>
        </w:rPr>
        <w:t xml:space="preserve"> в природоохранные технологии. </w:t>
      </w:r>
      <w:r w:rsidR="00377C49" w:rsidRPr="00377C49">
        <w:rPr>
          <w:rFonts w:ascii="Times New Roman" w:hAnsi="Times New Roman" w:cs="Times New Roman"/>
          <w:sz w:val="28"/>
          <w:szCs w:val="28"/>
        </w:rPr>
        <w:t>Социальная</w:t>
      </w:r>
      <w:r w:rsidR="00377C49">
        <w:rPr>
          <w:rFonts w:ascii="Times New Roman" w:hAnsi="Times New Roman" w:cs="Times New Roman"/>
          <w:sz w:val="28"/>
          <w:szCs w:val="28"/>
        </w:rPr>
        <w:t xml:space="preserve"> </w:t>
      </w:r>
      <w:r w:rsidR="00377C49" w:rsidRPr="00377C49">
        <w:rPr>
          <w:rFonts w:ascii="Times New Roman" w:hAnsi="Times New Roman" w:cs="Times New Roman"/>
          <w:sz w:val="28"/>
          <w:szCs w:val="28"/>
        </w:rPr>
        <w:t>составляющая</w:t>
      </w:r>
      <w:r w:rsidR="00377C49">
        <w:rPr>
          <w:rFonts w:ascii="Times New Roman" w:hAnsi="Times New Roman" w:cs="Times New Roman"/>
          <w:sz w:val="28"/>
          <w:szCs w:val="28"/>
        </w:rPr>
        <w:t xml:space="preserve"> </w:t>
      </w:r>
      <w:r w:rsidR="00377C49" w:rsidRPr="00377C49">
        <w:rPr>
          <w:rFonts w:ascii="Times New Roman" w:hAnsi="Times New Roman" w:cs="Times New Roman"/>
          <w:sz w:val="28"/>
          <w:szCs w:val="28"/>
        </w:rPr>
        <w:t>оценивает</w:t>
      </w:r>
      <w:r w:rsidR="00377C49">
        <w:rPr>
          <w:rFonts w:ascii="Times New Roman" w:hAnsi="Times New Roman" w:cs="Times New Roman"/>
          <w:sz w:val="28"/>
          <w:szCs w:val="28"/>
        </w:rPr>
        <w:t xml:space="preserve"> </w:t>
      </w:r>
      <w:r w:rsidR="00377C49" w:rsidRPr="00377C49">
        <w:rPr>
          <w:rFonts w:ascii="Times New Roman" w:hAnsi="Times New Roman" w:cs="Times New Roman"/>
          <w:sz w:val="28"/>
          <w:szCs w:val="28"/>
        </w:rPr>
        <w:t>соблюдение трудовых</w:t>
      </w:r>
      <w:r w:rsidR="00377C49">
        <w:rPr>
          <w:rFonts w:ascii="Times New Roman" w:hAnsi="Times New Roman" w:cs="Times New Roman"/>
          <w:sz w:val="28"/>
          <w:szCs w:val="28"/>
        </w:rPr>
        <w:t xml:space="preserve"> </w:t>
      </w:r>
      <w:r w:rsidR="00377C49" w:rsidRPr="00377C49">
        <w:rPr>
          <w:rFonts w:ascii="Times New Roman" w:hAnsi="Times New Roman" w:cs="Times New Roman"/>
          <w:sz w:val="28"/>
          <w:szCs w:val="28"/>
        </w:rPr>
        <w:t>стандартов</w:t>
      </w:r>
      <w:r w:rsidRPr="00581B2E">
        <w:rPr>
          <w:rFonts w:ascii="Times New Roman" w:hAnsi="Times New Roman" w:cs="Times New Roman"/>
          <w:sz w:val="28"/>
          <w:szCs w:val="28"/>
        </w:rPr>
        <w:t xml:space="preserve"> и прав </w:t>
      </w:r>
      <w:r w:rsidR="00F55C79">
        <w:rPr>
          <w:rFonts w:ascii="Times New Roman" w:hAnsi="Times New Roman" w:cs="Times New Roman"/>
          <w:sz w:val="28"/>
          <w:szCs w:val="28"/>
        </w:rPr>
        <w:t>работников</w:t>
      </w:r>
      <w:r w:rsidRPr="00581B2E">
        <w:rPr>
          <w:rFonts w:ascii="Times New Roman" w:hAnsi="Times New Roman" w:cs="Times New Roman"/>
          <w:sz w:val="28"/>
          <w:szCs w:val="28"/>
        </w:rPr>
        <w:t xml:space="preserve">, меры социальной защиты </w:t>
      </w:r>
      <w:r w:rsidR="00F55C79">
        <w:rPr>
          <w:rFonts w:ascii="Times New Roman" w:hAnsi="Times New Roman" w:cs="Times New Roman"/>
          <w:sz w:val="28"/>
          <w:szCs w:val="28"/>
        </w:rPr>
        <w:t>сотрудников</w:t>
      </w:r>
      <w:r w:rsidRPr="00581B2E">
        <w:rPr>
          <w:rFonts w:ascii="Times New Roman" w:hAnsi="Times New Roman" w:cs="Times New Roman"/>
          <w:sz w:val="28"/>
          <w:szCs w:val="28"/>
        </w:rPr>
        <w:t>, трудоустройство молодых специалистов</w:t>
      </w:r>
      <w:r w:rsidR="00F55C79">
        <w:rPr>
          <w:rFonts w:ascii="Times New Roman" w:hAnsi="Times New Roman" w:cs="Times New Roman"/>
          <w:sz w:val="28"/>
          <w:szCs w:val="28"/>
        </w:rPr>
        <w:t xml:space="preserve"> и</w:t>
      </w:r>
      <w:r w:rsidR="004A321C">
        <w:rPr>
          <w:rFonts w:ascii="Times New Roman" w:hAnsi="Times New Roman" w:cs="Times New Roman"/>
          <w:sz w:val="28"/>
          <w:szCs w:val="28"/>
        </w:rPr>
        <w:t xml:space="preserve"> </w:t>
      </w:r>
      <w:r w:rsidRPr="00581B2E">
        <w:rPr>
          <w:rFonts w:ascii="Times New Roman" w:hAnsi="Times New Roman" w:cs="Times New Roman"/>
          <w:sz w:val="28"/>
          <w:szCs w:val="28"/>
        </w:rPr>
        <w:t>инвести</w:t>
      </w:r>
      <w:r w:rsidR="00F55C79">
        <w:rPr>
          <w:rFonts w:ascii="Times New Roman" w:hAnsi="Times New Roman" w:cs="Times New Roman"/>
          <w:sz w:val="28"/>
          <w:szCs w:val="28"/>
        </w:rPr>
        <w:t>ции</w:t>
      </w:r>
      <w:r w:rsidRPr="00581B2E">
        <w:rPr>
          <w:rFonts w:ascii="Times New Roman" w:hAnsi="Times New Roman" w:cs="Times New Roman"/>
          <w:sz w:val="28"/>
          <w:szCs w:val="28"/>
        </w:rPr>
        <w:t xml:space="preserve"> в социальные проекты. Управленческая </w:t>
      </w:r>
      <w:r w:rsidR="00377C49">
        <w:rPr>
          <w:rFonts w:ascii="Times New Roman" w:hAnsi="Times New Roman" w:cs="Times New Roman"/>
          <w:sz w:val="28"/>
          <w:szCs w:val="28"/>
        </w:rPr>
        <w:t>составляющая</w:t>
      </w:r>
      <w:r w:rsidRPr="00581B2E">
        <w:rPr>
          <w:rFonts w:ascii="Times New Roman" w:hAnsi="Times New Roman" w:cs="Times New Roman"/>
          <w:sz w:val="28"/>
          <w:szCs w:val="28"/>
        </w:rPr>
        <w:t xml:space="preserve"> оценивает документы в сфере устойчивого развития компании, </w:t>
      </w:r>
      <w:r w:rsidR="00F55C79" w:rsidRPr="00F55C79">
        <w:rPr>
          <w:rFonts w:ascii="Times New Roman" w:hAnsi="Times New Roman" w:cs="Times New Roman"/>
          <w:sz w:val="28"/>
          <w:szCs w:val="28"/>
        </w:rPr>
        <w:t>положения</w:t>
      </w:r>
      <w:r w:rsidR="00F55C79">
        <w:rPr>
          <w:rFonts w:ascii="Times New Roman" w:hAnsi="Times New Roman" w:cs="Times New Roman"/>
          <w:sz w:val="28"/>
          <w:szCs w:val="28"/>
        </w:rPr>
        <w:t xml:space="preserve"> </w:t>
      </w:r>
      <w:r w:rsidR="00F55C79" w:rsidRPr="00F55C79">
        <w:rPr>
          <w:rFonts w:ascii="Times New Roman" w:hAnsi="Times New Roman" w:cs="Times New Roman"/>
          <w:sz w:val="28"/>
          <w:szCs w:val="28"/>
        </w:rPr>
        <w:t>о</w:t>
      </w:r>
      <w:r w:rsidR="00F55C79">
        <w:rPr>
          <w:rFonts w:ascii="Times New Roman" w:hAnsi="Times New Roman" w:cs="Times New Roman"/>
          <w:sz w:val="28"/>
          <w:szCs w:val="28"/>
        </w:rPr>
        <w:t xml:space="preserve"> </w:t>
      </w:r>
      <w:r w:rsidR="00F55C79" w:rsidRPr="00F55C79">
        <w:rPr>
          <w:rFonts w:ascii="Times New Roman" w:hAnsi="Times New Roman" w:cs="Times New Roman"/>
          <w:sz w:val="28"/>
          <w:szCs w:val="28"/>
        </w:rPr>
        <w:t>предотвращении</w:t>
      </w:r>
      <w:r w:rsidR="00F55C79">
        <w:rPr>
          <w:rFonts w:ascii="Times New Roman" w:hAnsi="Times New Roman" w:cs="Times New Roman"/>
          <w:sz w:val="28"/>
          <w:szCs w:val="28"/>
        </w:rPr>
        <w:t xml:space="preserve"> </w:t>
      </w:r>
      <w:r w:rsidR="00F55C79" w:rsidRPr="00F55C79">
        <w:rPr>
          <w:rFonts w:ascii="Times New Roman" w:hAnsi="Times New Roman" w:cs="Times New Roman"/>
          <w:sz w:val="28"/>
          <w:szCs w:val="28"/>
        </w:rPr>
        <w:t>конфликта</w:t>
      </w:r>
      <w:r w:rsidR="00F55C79">
        <w:rPr>
          <w:rFonts w:ascii="Times New Roman" w:hAnsi="Times New Roman" w:cs="Times New Roman"/>
          <w:sz w:val="28"/>
          <w:szCs w:val="28"/>
        </w:rPr>
        <w:t xml:space="preserve"> </w:t>
      </w:r>
      <w:r w:rsidR="00F55C79" w:rsidRPr="00F55C79">
        <w:rPr>
          <w:rFonts w:ascii="Times New Roman" w:hAnsi="Times New Roman" w:cs="Times New Roman"/>
          <w:sz w:val="28"/>
          <w:szCs w:val="28"/>
        </w:rPr>
        <w:t>интересов</w:t>
      </w:r>
      <w:r w:rsidR="00F55C79">
        <w:rPr>
          <w:rFonts w:ascii="Times New Roman" w:hAnsi="Times New Roman" w:cs="Times New Roman"/>
          <w:sz w:val="28"/>
          <w:szCs w:val="28"/>
        </w:rPr>
        <w:t xml:space="preserve"> </w:t>
      </w:r>
      <w:r w:rsidR="00F55C79" w:rsidRPr="00F55C79">
        <w:rPr>
          <w:rFonts w:ascii="Times New Roman" w:hAnsi="Times New Roman" w:cs="Times New Roman"/>
          <w:sz w:val="28"/>
          <w:szCs w:val="28"/>
        </w:rPr>
        <w:t>и антикоррупционную практику</w:t>
      </w:r>
      <w:r w:rsidRPr="00581B2E">
        <w:rPr>
          <w:rFonts w:ascii="Times New Roman" w:hAnsi="Times New Roman" w:cs="Times New Roman"/>
          <w:sz w:val="28"/>
          <w:szCs w:val="28"/>
        </w:rPr>
        <w:t>.</w:t>
      </w:r>
    </w:p>
    <w:p w14:paraId="1C093E70" w14:textId="77777777" w:rsidR="00272E76" w:rsidRDefault="00B4652A" w:rsidP="00EA4162">
      <w:pPr>
        <w:pStyle w:val="a6"/>
        <w:numPr>
          <w:ilvl w:val="0"/>
          <w:numId w:val="11"/>
        </w:numPr>
        <w:spacing w:line="288" w:lineRule="auto"/>
        <w:ind w:left="0" w:firstLine="709"/>
        <w:jc w:val="both"/>
        <w:rPr>
          <w:rFonts w:ascii="Times New Roman" w:hAnsi="Times New Roman" w:cs="Times New Roman"/>
          <w:sz w:val="28"/>
          <w:szCs w:val="28"/>
        </w:rPr>
      </w:pPr>
      <w:r w:rsidRPr="0054049D">
        <w:rPr>
          <w:rFonts w:ascii="Times New Roman" w:hAnsi="Times New Roman" w:cs="Times New Roman"/>
          <w:sz w:val="28"/>
          <w:szCs w:val="28"/>
        </w:rPr>
        <w:t xml:space="preserve">Москва выпустила зеленые облигации для </w:t>
      </w:r>
      <w:r w:rsidR="0054049D" w:rsidRPr="0054049D">
        <w:rPr>
          <w:rFonts w:ascii="Times New Roman" w:hAnsi="Times New Roman" w:cs="Times New Roman"/>
          <w:sz w:val="28"/>
          <w:szCs w:val="28"/>
        </w:rPr>
        <w:t>граждан</w:t>
      </w:r>
      <w:r w:rsidRPr="0054049D">
        <w:rPr>
          <w:rFonts w:ascii="Times New Roman" w:hAnsi="Times New Roman" w:cs="Times New Roman"/>
          <w:sz w:val="28"/>
          <w:szCs w:val="28"/>
        </w:rPr>
        <w:t xml:space="preserve">, которые </w:t>
      </w:r>
      <w:r w:rsidR="0054049D" w:rsidRPr="0054049D">
        <w:rPr>
          <w:rFonts w:ascii="Times New Roman" w:hAnsi="Times New Roman" w:cs="Times New Roman"/>
          <w:sz w:val="28"/>
          <w:szCs w:val="28"/>
        </w:rPr>
        <w:t xml:space="preserve">теперь </w:t>
      </w:r>
      <w:r w:rsidRPr="0054049D">
        <w:rPr>
          <w:rFonts w:ascii="Times New Roman" w:hAnsi="Times New Roman" w:cs="Times New Roman"/>
          <w:sz w:val="28"/>
          <w:szCs w:val="28"/>
        </w:rPr>
        <w:t>можно приобрести на</w:t>
      </w:r>
      <w:r w:rsidR="00816D1D" w:rsidRPr="0054049D">
        <w:rPr>
          <w:rFonts w:ascii="Times New Roman" w:hAnsi="Times New Roman" w:cs="Times New Roman"/>
          <w:sz w:val="28"/>
          <w:szCs w:val="28"/>
        </w:rPr>
        <w:t xml:space="preserve"> платформе «</w:t>
      </w:r>
      <w:proofErr w:type="spellStart"/>
      <w:r w:rsidR="00816D1D" w:rsidRPr="0054049D">
        <w:rPr>
          <w:rFonts w:ascii="Times New Roman" w:hAnsi="Times New Roman" w:cs="Times New Roman"/>
          <w:sz w:val="28"/>
          <w:szCs w:val="28"/>
        </w:rPr>
        <w:t>Финуслуги</w:t>
      </w:r>
      <w:proofErr w:type="spellEnd"/>
      <w:r w:rsidR="00816D1D" w:rsidRPr="0054049D">
        <w:rPr>
          <w:rFonts w:ascii="Times New Roman" w:hAnsi="Times New Roman" w:cs="Times New Roman"/>
          <w:sz w:val="28"/>
          <w:szCs w:val="28"/>
        </w:rPr>
        <w:t xml:space="preserve">» Московской биржи. </w:t>
      </w:r>
      <w:r w:rsidRPr="0054049D">
        <w:rPr>
          <w:rFonts w:ascii="Times New Roman" w:hAnsi="Times New Roman" w:cs="Times New Roman"/>
          <w:sz w:val="28"/>
          <w:szCs w:val="28"/>
        </w:rPr>
        <w:t xml:space="preserve">Эти облигации представляют собой </w:t>
      </w:r>
      <w:r w:rsidR="00816D1D" w:rsidRPr="0054049D">
        <w:rPr>
          <w:rFonts w:ascii="Times New Roman" w:hAnsi="Times New Roman" w:cs="Times New Roman"/>
          <w:sz w:val="28"/>
          <w:szCs w:val="28"/>
        </w:rPr>
        <w:t xml:space="preserve">особый вид ценных бумаг, которые могут </w:t>
      </w:r>
      <w:r w:rsidR="0054049D" w:rsidRPr="0054049D">
        <w:rPr>
          <w:rFonts w:ascii="Times New Roman" w:hAnsi="Times New Roman" w:cs="Times New Roman"/>
          <w:sz w:val="28"/>
          <w:szCs w:val="28"/>
        </w:rPr>
        <w:t xml:space="preserve">быть приобретены </w:t>
      </w:r>
      <w:r w:rsidR="00816D1D" w:rsidRPr="0054049D">
        <w:rPr>
          <w:rFonts w:ascii="Times New Roman" w:hAnsi="Times New Roman" w:cs="Times New Roman"/>
          <w:sz w:val="28"/>
          <w:szCs w:val="28"/>
        </w:rPr>
        <w:t>только физически</w:t>
      </w:r>
      <w:r w:rsidR="0054049D" w:rsidRPr="0054049D">
        <w:rPr>
          <w:rFonts w:ascii="Times New Roman" w:hAnsi="Times New Roman" w:cs="Times New Roman"/>
          <w:sz w:val="28"/>
          <w:szCs w:val="28"/>
        </w:rPr>
        <w:t>ми</w:t>
      </w:r>
      <w:r w:rsidR="00816D1D" w:rsidRPr="0054049D">
        <w:rPr>
          <w:rFonts w:ascii="Times New Roman" w:hAnsi="Times New Roman" w:cs="Times New Roman"/>
          <w:sz w:val="28"/>
          <w:szCs w:val="28"/>
        </w:rPr>
        <w:t xml:space="preserve"> лица</w:t>
      </w:r>
      <w:r w:rsidR="0054049D" w:rsidRPr="0054049D">
        <w:rPr>
          <w:rFonts w:ascii="Times New Roman" w:hAnsi="Times New Roman" w:cs="Times New Roman"/>
          <w:sz w:val="28"/>
          <w:szCs w:val="28"/>
        </w:rPr>
        <w:t>ми</w:t>
      </w:r>
      <w:r w:rsidR="00816D1D" w:rsidRP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Сумма выпуска облигаций невелика по сравнению с бюджетом города, который ежегодно расходует несоизмеримо большие средства на</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 xml:space="preserve">финансирование различных </w:t>
      </w:r>
      <w:r w:rsidR="0054049D" w:rsidRPr="0054049D">
        <w:rPr>
          <w:rFonts w:ascii="Times New Roman" w:hAnsi="Times New Roman" w:cs="Times New Roman"/>
          <w:sz w:val="28"/>
          <w:szCs w:val="28"/>
        </w:rPr>
        <w:lastRenderedPageBreak/>
        <w:t>экологических проектов.</w:t>
      </w:r>
      <w:r w:rsidRP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Цель</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выпуска</w:t>
      </w:r>
      <w:r w:rsidR="0054049D">
        <w:rPr>
          <w:rFonts w:ascii="Times New Roman" w:hAnsi="Times New Roman" w:cs="Times New Roman"/>
          <w:sz w:val="28"/>
          <w:szCs w:val="28"/>
        </w:rPr>
        <w:t xml:space="preserve"> – </w:t>
      </w:r>
      <w:r w:rsidR="0054049D" w:rsidRPr="0054049D">
        <w:rPr>
          <w:rFonts w:ascii="Times New Roman" w:hAnsi="Times New Roman" w:cs="Times New Roman"/>
          <w:sz w:val="28"/>
          <w:szCs w:val="28"/>
        </w:rPr>
        <w:t>повышение</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финансовой грамотности</w:t>
      </w:r>
      <w:r w:rsidR="0054049D">
        <w:rPr>
          <w:rFonts w:ascii="Times New Roman" w:hAnsi="Times New Roman" w:cs="Times New Roman"/>
          <w:sz w:val="28"/>
          <w:szCs w:val="28"/>
        </w:rPr>
        <w:t xml:space="preserve"> </w:t>
      </w:r>
      <w:r w:rsidR="0054049D" w:rsidRPr="0054049D">
        <w:rPr>
          <w:rFonts w:ascii="Times New Roman" w:hAnsi="Times New Roman" w:cs="Times New Roman"/>
          <w:sz w:val="28"/>
          <w:szCs w:val="28"/>
        </w:rPr>
        <w:t>горожан.</w:t>
      </w:r>
      <w:r w:rsidR="0054049D">
        <w:rPr>
          <w:rFonts w:ascii="Times New Roman" w:hAnsi="Times New Roman" w:cs="Times New Roman"/>
          <w:sz w:val="28"/>
          <w:szCs w:val="28"/>
        </w:rPr>
        <w:t xml:space="preserve"> </w:t>
      </w:r>
    </w:p>
    <w:p w14:paraId="60E00125" w14:textId="1F86F2C0" w:rsidR="00581B2E" w:rsidRPr="0054049D" w:rsidRDefault="002F661B" w:rsidP="00EA4162">
      <w:pPr>
        <w:pStyle w:val="a6"/>
        <w:numPr>
          <w:ilvl w:val="0"/>
          <w:numId w:val="11"/>
        </w:numPr>
        <w:spacing w:line="288" w:lineRule="auto"/>
        <w:ind w:left="0" w:firstLine="709"/>
        <w:jc w:val="both"/>
        <w:rPr>
          <w:rFonts w:ascii="Times New Roman" w:hAnsi="Times New Roman" w:cs="Times New Roman"/>
          <w:sz w:val="28"/>
          <w:szCs w:val="28"/>
        </w:rPr>
      </w:pPr>
      <w:r w:rsidRPr="0054049D">
        <w:rPr>
          <w:rFonts w:ascii="Times New Roman" w:hAnsi="Times New Roman" w:cs="Times New Roman"/>
          <w:sz w:val="28"/>
          <w:szCs w:val="28"/>
        </w:rPr>
        <w:t xml:space="preserve">Сбербанк запустил </w:t>
      </w:r>
      <w:r w:rsidR="00CF3AF1">
        <w:rPr>
          <w:rFonts w:ascii="Times New Roman" w:hAnsi="Times New Roman" w:cs="Times New Roman"/>
          <w:sz w:val="28"/>
          <w:szCs w:val="28"/>
        </w:rPr>
        <w:t>ряд</w:t>
      </w:r>
      <w:r w:rsidRPr="0054049D">
        <w:rPr>
          <w:rFonts w:ascii="Times New Roman" w:hAnsi="Times New Roman" w:cs="Times New Roman"/>
          <w:sz w:val="28"/>
          <w:szCs w:val="28"/>
        </w:rPr>
        <w:t xml:space="preserve"> экологических акций, таких как </w:t>
      </w:r>
      <w:r w:rsidR="00816D1D" w:rsidRPr="0054049D">
        <w:rPr>
          <w:rFonts w:ascii="Times New Roman" w:hAnsi="Times New Roman" w:cs="Times New Roman"/>
          <w:sz w:val="28"/>
          <w:szCs w:val="28"/>
        </w:rPr>
        <w:t>«Зеленая весна»</w:t>
      </w:r>
      <w:r w:rsidR="00CF3AF1">
        <w:rPr>
          <w:rFonts w:ascii="Times New Roman" w:hAnsi="Times New Roman" w:cs="Times New Roman"/>
          <w:sz w:val="28"/>
          <w:szCs w:val="28"/>
        </w:rPr>
        <w:t xml:space="preserve"> и</w:t>
      </w:r>
      <w:r w:rsidR="00816D1D" w:rsidRPr="0054049D">
        <w:rPr>
          <w:rFonts w:ascii="Times New Roman" w:hAnsi="Times New Roman" w:cs="Times New Roman"/>
          <w:sz w:val="28"/>
          <w:szCs w:val="28"/>
        </w:rPr>
        <w:t xml:space="preserve"> «Чисты</w:t>
      </w:r>
      <w:r w:rsidRPr="0054049D">
        <w:rPr>
          <w:rFonts w:ascii="Times New Roman" w:hAnsi="Times New Roman" w:cs="Times New Roman"/>
          <w:sz w:val="28"/>
          <w:szCs w:val="28"/>
        </w:rPr>
        <w:t>е</w:t>
      </w:r>
      <w:r w:rsidR="00816D1D" w:rsidRPr="0054049D">
        <w:rPr>
          <w:rFonts w:ascii="Times New Roman" w:hAnsi="Times New Roman" w:cs="Times New Roman"/>
          <w:sz w:val="28"/>
          <w:szCs w:val="28"/>
        </w:rPr>
        <w:t xml:space="preserve"> игр</w:t>
      </w:r>
      <w:r w:rsidRPr="0054049D">
        <w:rPr>
          <w:rFonts w:ascii="Times New Roman" w:hAnsi="Times New Roman" w:cs="Times New Roman"/>
          <w:sz w:val="28"/>
          <w:szCs w:val="28"/>
        </w:rPr>
        <w:t>ы</w:t>
      </w:r>
      <w:r w:rsidR="00816D1D" w:rsidRPr="0054049D">
        <w:rPr>
          <w:rFonts w:ascii="Times New Roman" w:hAnsi="Times New Roman" w:cs="Times New Roman"/>
          <w:sz w:val="28"/>
          <w:szCs w:val="28"/>
        </w:rPr>
        <w:t>»</w:t>
      </w:r>
      <w:r w:rsidRPr="0054049D">
        <w:rPr>
          <w:rFonts w:ascii="Times New Roman" w:hAnsi="Times New Roman" w:cs="Times New Roman"/>
          <w:sz w:val="28"/>
          <w:szCs w:val="28"/>
        </w:rPr>
        <w:t xml:space="preserve">, </w:t>
      </w:r>
      <w:r w:rsidR="00CF3AF1" w:rsidRPr="00CF3AF1">
        <w:rPr>
          <w:rFonts w:ascii="Times New Roman" w:hAnsi="Times New Roman" w:cs="Times New Roman"/>
          <w:sz w:val="28"/>
          <w:szCs w:val="28"/>
        </w:rPr>
        <w:t>направленных</w:t>
      </w:r>
      <w:r w:rsidR="00CF3AF1">
        <w:rPr>
          <w:rFonts w:ascii="Times New Roman" w:hAnsi="Times New Roman" w:cs="Times New Roman"/>
          <w:sz w:val="28"/>
          <w:szCs w:val="28"/>
        </w:rPr>
        <w:t xml:space="preserve"> </w:t>
      </w:r>
      <w:r w:rsidR="00CF3AF1" w:rsidRPr="00CF3AF1">
        <w:rPr>
          <w:rFonts w:ascii="Times New Roman" w:hAnsi="Times New Roman" w:cs="Times New Roman"/>
          <w:sz w:val="28"/>
          <w:szCs w:val="28"/>
        </w:rPr>
        <w:t>на</w:t>
      </w:r>
      <w:r w:rsidR="00CF3AF1">
        <w:rPr>
          <w:rFonts w:ascii="Times New Roman" w:hAnsi="Times New Roman" w:cs="Times New Roman"/>
          <w:sz w:val="28"/>
          <w:szCs w:val="28"/>
        </w:rPr>
        <w:t xml:space="preserve"> </w:t>
      </w:r>
      <w:r w:rsidR="00CF3AF1" w:rsidRPr="00CF3AF1">
        <w:rPr>
          <w:rFonts w:ascii="Times New Roman" w:hAnsi="Times New Roman" w:cs="Times New Roman"/>
          <w:sz w:val="28"/>
          <w:szCs w:val="28"/>
        </w:rPr>
        <w:t>поддержку</w:t>
      </w:r>
      <w:r w:rsidR="00CF3AF1">
        <w:rPr>
          <w:rFonts w:ascii="Times New Roman" w:hAnsi="Times New Roman" w:cs="Times New Roman"/>
          <w:sz w:val="28"/>
          <w:szCs w:val="28"/>
        </w:rPr>
        <w:t xml:space="preserve"> </w:t>
      </w:r>
      <w:r w:rsidR="00CF3AF1" w:rsidRPr="00CF3AF1">
        <w:rPr>
          <w:rFonts w:ascii="Times New Roman" w:hAnsi="Times New Roman" w:cs="Times New Roman"/>
          <w:sz w:val="28"/>
          <w:szCs w:val="28"/>
        </w:rPr>
        <w:t>мероприятий</w:t>
      </w:r>
      <w:r w:rsidRPr="0054049D">
        <w:rPr>
          <w:rFonts w:ascii="Times New Roman" w:hAnsi="Times New Roman" w:cs="Times New Roman"/>
          <w:sz w:val="28"/>
          <w:szCs w:val="28"/>
        </w:rPr>
        <w:t xml:space="preserve"> по </w:t>
      </w:r>
      <w:r w:rsidR="00816D1D" w:rsidRPr="0054049D">
        <w:rPr>
          <w:rFonts w:ascii="Times New Roman" w:hAnsi="Times New Roman" w:cs="Times New Roman"/>
          <w:sz w:val="28"/>
          <w:szCs w:val="28"/>
        </w:rPr>
        <w:t>посад</w:t>
      </w:r>
      <w:r w:rsidRPr="0054049D">
        <w:rPr>
          <w:rFonts w:ascii="Times New Roman" w:hAnsi="Times New Roman" w:cs="Times New Roman"/>
          <w:sz w:val="28"/>
          <w:szCs w:val="28"/>
        </w:rPr>
        <w:t>ке</w:t>
      </w:r>
      <w:r w:rsidR="00816D1D" w:rsidRPr="0054049D">
        <w:rPr>
          <w:rFonts w:ascii="Times New Roman" w:hAnsi="Times New Roman" w:cs="Times New Roman"/>
          <w:sz w:val="28"/>
          <w:szCs w:val="28"/>
        </w:rPr>
        <w:t xml:space="preserve"> дерев</w:t>
      </w:r>
      <w:r w:rsidRPr="0054049D">
        <w:rPr>
          <w:rFonts w:ascii="Times New Roman" w:hAnsi="Times New Roman" w:cs="Times New Roman"/>
          <w:sz w:val="28"/>
          <w:szCs w:val="28"/>
        </w:rPr>
        <w:t>ьев</w:t>
      </w:r>
      <w:r w:rsidR="00816D1D" w:rsidRPr="0054049D">
        <w:rPr>
          <w:rFonts w:ascii="Times New Roman" w:hAnsi="Times New Roman" w:cs="Times New Roman"/>
          <w:sz w:val="28"/>
          <w:szCs w:val="28"/>
        </w:rPr>
        <w:t xml:space="preserve">. </w:t>
      </w:r>
      <w:r w:rsidRPr="0054049D">
        <w:rPr>
          <w:rFonts w:ascii="Times New Roman" w:hAnsi="Times New Roman" w:cs="Times New Roman"/>
          <w:sz w:val="28"/>
          <w:szCs w:val="28"/>
        </w:rPr>
        <w:t xml:space="preserve">Благодаря </w:t>
      </w:r>
      <w:r w:rsidR="00CF3AF1">
        <w:rPr>
          <w:rFonts w:ascii="Times New Roman" w:hAnsi="Times New Roman" w:cs="Times New Roman"/>
          <w:sz w:val="28"/>
          <w:szCs w:val="28"/>
        </w:rPr>
        <w:t>этим</w:t>
      </w:r>
      <w:r w:rsidRPr="0054049D">
        <w:rPr>
          <w:rFonts w:ascii="Times New Roman" w:hAnsi="Times New Roman" w:cs="Times New Roman"/>
          <w:sz w:val="28"/>
          <w:szCs w:val="28"/>
        </w:rPr>
        <w:t xml:space="preserve"> инициативам Сбербанк </w:t>
      </w:r>
      <w:r w:rsidR="00816D1D" w:rsidRPr="0054049D">
        <w:rPr>
          <w:rFonts w:ascii="Times New Roman" w:hAnsi="Times New Roman" w:cs="Times New Roman"/>
          <w:sz w:val="28"/>
          <w:szCs w:val="28"/>
        </w:rPr>
        <w:t xml:space="preserve">остается лидером зеленой повестки с точки зрения наращивания зеленого кредитного портфеля и широкого внедрения зеленых и энергоэффективных технологий. </w:t>
      </w:r>
    </w:p>
    <w:p w14:paraId="2C3F9EAE" w14:textId="444BD7F1" w:rsidR="00E02D7B" w:rsidRDefault="00816D1D" w:rsidP="00BC2F55">
      <w:pPr>
        <w:pStyle w:val="a6"/>
        <w:numPr>
          <w:ilvl w:val="0"/>
          <w:numId w:val="11"/>
        </w:numPr>
        <w:spacing w:line="288" w:lineRule="auto"/>
        <w:ind w:left="0" w:firstLine="709"/>
        <w:jc w:val="both"/>
        <w:rPr>
          <w:rFonts w:ascii="Times New Roman" w:hAnsi="Times New Roman" w:cs="Times New Roman"/>
          <w:sz w:val="28"/>
          <w:szCs w:val="28"/>
        </w:rPr>
      </w:pPr>
      <w:r w:rsidRPr="00E02D7B">
        <w:rPr>
          <w:rFonts w:ascii="Times New Roman" w:hAnsi="Times New Roman" w:cs="Times New Roman"/>
          <w:sz w:val="28"/>
          <w:szCs w:val="28"/>
        </w:rPr>
        <w:t xml:space="preserve">В </w:t>
      </w:r>
      <w:r w:rsidR="000F311F" w:rsidRPr="00E02D7B">
        <w:rPr>
          <w:rFonts w:ascii="Times New Roman" w:hAnsi="Times New Roman" w:cs="Times New Roman"/>
          <w:sz w:val="28"/>
          <w:szCs w:val="28"/>
        </w:rPr>
        <w:t xml:space="preserve">2023 году в </w:t>
      </w:r>
      <w:r w:rsidRPr="00E02D7B">
        <w:rPr>
          <w:rFonts w:ascii="Times New Roman" w:hAnsi="Times New Roman" w:cs="Times New Roman"/>
          <w:sz w:val="28"/>
          <w:szCs w:val="28"/>
        </w:rPr>
        <w:t>России</w:t>
      </w:r>
      <w:r w:rsidR="000F311F" w:rsidRPr="00E02D7B">
        <w:rPr>
          <w:rFonts w:ascii="Times New Roman" w:hAnsi="Times New Roman" w:cs="Times New Roman"/>
          <w:sz w:val="28"/>
          <w:szCs w:val="28"/>
        </w:rPr>
        <w:t xml:space="preserve"> </w:t>
      </w:r>
      <w:r w:rsidRPr="00E02D7B">
        <w:rPr>
          <w:rFonts w:ascii="Times New Roman" w:hAnsi="Times New Roman" w:cs="Times New Roman"/>
          <w:sz w:val="28"/>
          <w:szCs w:val="28"/>
        </w:rPr>
        <w:t>заключена крупнейшая сделка с сертификатами зеленой электроэнергии</w:t>
      </w:r>
      <w:r w:rsidR="000F311F" w:rsidRPr="00E02D7B">
        <w:rPr>
          <w:rFonts w:ascii="Times New Roman" w:hAnsi="Times New Roman" w:cs="Times New Roman"/>
          <w:sz w:val="28"/>
          <w:szCs w:val="28"/>
        </w:rPr>
        <w:t xml:space="preserve">, согласно которой </w:t>
      </w:r>
      <w:r w:rsidRPr="00E02D7B">
        <w:rPr>
          <w:rFonts w:ascii="Times New Roman" w:hAnsi="Times New Roman" w:cs="Times New Roman"/>
          <w:sz w:val="28"/>
          <w:szCs w:val="28"/>
        </w:rPr>
        <w:t>ГК «Дело» погасила 30 млн сертификатов</w:t>
      </w:r>
      <w:r w:rsidR="00243741">
        <w:rPr>
          <w:rFonts w:ascii="Times New Roman" w:hAnsi="Times New Roman" w:cs="Times New Roman"/>
          <w:sz w:val="28"/>
          <w:szCs w:val="28"/>
        </w:rPr>
        <w:t>.</w:t>
      </w:r>
      <w:r w:rsidRPr="00E02D7B">
        <w:rPr>
          <w:rFonts w:ascii="Times New Roman" w:hAnsi="Times New Roman" w:cs="Times New Roman"/>
          <w:sz w:val="28"/>
          <w:szCs w:val="28"/>
        </w:rPr>
        <w:t xml:space="preserve"> </w:t>
      </w:r>
      <w:r w:rsidR="00243741">
        <w:rPr>
          <w:rFonts w:ascii="Times New Roman" w:hAnsi="Times New Roman" w:cs="Times New Roman"/>
          <w:sz w:val="28"/>
          <w:szCs w:val="28"/>
        </w:rPr>
        <w:t>Сертификаты</w:t>
      </w:r>
      <w:r w:rsidR="00F55C79" w:rsidRPr="00E02D7B">
        <w:rPr>
          <w:rFonts w:ascii="Times New Roman" w:hAnsi="Times New Roman" w:cs="Times New Roman"/>
          <w:sz w:val="28"/>
          <w:szCs w:val="28"/>
        </w:rPr>
        <w:t xml:space="preserve"> </w:t>
      </w:r>
      <w:r w:rsidRPr="00E02D7B">
        <w:rPr>
          <w:rFonts w:ascii="Times New Roman" w:hAnsi="Times New Roman" w:cs="Times New Roman"/>
          <w:sz w:val="28"/>
          <w:szCs w:val="28"/>
        </w:rPr>
        <w:t>подтверждаю</w:t>
      </w:r>
      <w:r w:rsidR="00F55C79" w:rsidRPr="00E02D7B">
        <w:rPr>
          <w:rFonts w:ascii="Times New Roman" w:hAnsi="Times New Roman" w:cs="Times New Roman"/>
          <w:sz w:val="28"/>
          <w:szCs w:val="28"/>
        </w:rPr>
        <w:t xml:space="preserve">т </w:t>
      </w:r>
      <w:r w:rsidRPr="00E02D7B">
        <w:rPr>
          <w:rFonts w:ascii="Times New Roman" w:hAnsi="Times New Roman" w:cs="Times New Roman"/>
          <w:sz w:val="28"/>
          <w:szCs w:val="28"/>
        </w:rPr>
        <w:t>производство электроэнергии на Красноярской ГЭС</w:t>
      </w:r>
      <w:r w:rsidR="004E44C8" w:rsidRPr="00E02D7B">
        <w:rPr>
          <w:rFonts w:ascii="Times New Roman" w:hAnsi="Times New Roman" w:cs="Times New Roman"/>
          <w:sz w:val="28"/>
          <w:szCs w:val="28"/>
        </w:rPr>
        <w:t xml:space="preserve">. </w:t>
      </w:r>
      <w:r w:rsidR="00377C49" w:rsidRPr="00E02D7B">
        <w:rPr>
          <w:rFonts w:ascii="Times New Roman" w:hAnsi="Times New Roman" w:cs="Times New Roman"/>
          <w:sz w:val="28"/>
          <w:szCs w:val="28"/>
        </w:rPr>
        <w:t>Эти</w:t>
      </w:r>
      <w:r w:rsidR="00F55C79" w:rsidRPr="00E02D7B">
        <w:rPr>
          <w:rFonts w:ascii="Times New Roman" w:hAnsi="Times New Roman" w:cs="Times New Roman"/>
          <w:sz w:val="28"/>
          <w:szCs w:val="28"/>
        </w:rPr>
        <w:t xml:space="preserve"> с</w:t>
      </w:r>
      <w:r w:rsidRPr="00E02D7B">
        <w:rPr>
          <w:rFonts w:ascii="Times New Roman" w:hAnsi="Times New Roman" w:cs="Times New Roman"/>
          <w:sz w:val="28"/>
          <w:szCs w:val="28"/>
        </w:rPr>
        <w:t xml:space="preserve">ертификаты </w:t>
      </w:r>
      <w:r w:rsidR="00F55C79" w:rsidRPr="00E02D7B">
        <w:rPr>
          <w:rFonts w:ascii="Times New Roman" w:hAnsi="Times New Roman" w:cs="Times New Roman"/>
          <w:sz w:val="28"/>
          <w:szCs w:val="28"/>
        </w:rPr>
        <w:t>позволят компенсировать</w:t>
      </w:r>
      <w:r w:rsidRPr="00E02D7B">
        <w:rPr>
          <w:rFonts w:ascii="Times New Roman" w:hAnsi="Times New Roman" w:cs="Times New Roman"/>
          <w:sz w:val="28"/>
          <w:szCs w:val="28"/>
        </w:rPr>
        <w:t xml:space="preserve"> выброс</w:t>
      </w:r>
      <w:r w:rsidR="00F55C79" w:rsidRPr="00E02D7B">
        <w:rPr>
          <w:rFonts w:ascii="Times New Roman" w:hAnsi="Times New Roman" w:cs="Times New Roman"/>
          <w:sz w:val="28"/>
          <w:szCs w:val="28"/>
        </w:rPr>
        <w:t>ы</w:t>
      </w:r>
      <w:r w:rsidRPr="00E02D7B">
        <w:rPr>
          <w:rFonts w:ascii="Times New Roman" w:hAnsi="Times New Roman" w:cs="Times New Roman"/>
          <w:sz w:val="28"/>
          <w:szCs w:val="28"/>
        </w:rPr>
        <w:t xml:space="preserve"> парниковых газов в размере более 10 тыс. т эквивалента CO2. </w:t>
      </w:r>
      <w:r w:rsidR="00377C49" w:rsidRPr="00E02D7B">
        <w:rPr>
          <w:rFonts w:ascii="Times New Roman" w:hAnsi="Times New Roman" w:cs="Times New Roman"/>
          <w:sz w:val="28"/>
          <w:szCs w:val="28"/>
        </w:rPr>
        <w:t>Выпуск</w:t>
      </w:r>
      <w:r w:rsidRPr="00E02D7B">
        <w:rPr>
          <w:rFonts w:ascii="Times New Roman" w:hAnsi="Times New Roman" w:cs="Times New Roman"/>
          <w:sz w:val="28"/>
          <w:szCs w:val="28"/>
        </w:rPr>
        <w:t xml:space="preserve"> зеленых сертификатов </w:t>
      </w:r>
      <w:r w:rsidR="000F311F" w:rsidRPr="00E02D7B">
        <w:rPr>
          <w:rFonts w:ascii="Times New Roman" w:hAnsi="Times New Roman" w:cs="Times New Roman"/>
          <w:sz w:val="28"/>
          <w:szCs w:val="28"/>
        </w:rPr>
        <w:t xml:space="preserve">имеет смысл только </w:t>
      </w:r>
      <w:r w:rsidRPr="00E02D7B">
        <w:rPr>
          <w:rFonts w:ascii="Times New Roman" w:hAnsi="Times New Roman" w:cs="Times New Roman"/>
          <w:sz w:val="28"/>
          <w:szCs w:val="28"/>
        </w:rPr>
        <w:t>при наличии покупателя, который преследует не только благотворительные цели, но</w:t>
      </w:r>
      <w:r w:rsidR="000F311F" w:rsidRPr="00E02D7B">
        <w:rPr>
          <w:rFonts w:ascii="Times New Roman" w:hAnsi="Times New Roman" w:cs="Times New Roman"/>
          <w:sz w:val="28"/>
          <w:szCs w:val="28"/>
        </w:rPr>
        <w:t xml:space="preserve"> также</w:t>
      </w:r>
      <w:r w:rsidRPr="00E02D7B">
        <w:rPr>
          <w:rFonts w:ascii="Times New Roman" w:hAnsi="Times New Roman" w:cs="Times New Roman"/>
          <w:sz w:val="28"/>
          <w:szCs w:val="28"/>
        </w:rPr>
        <w:t xml:space="preserve"> </w:t>
      </w:r>
      <w:r w:rsidR="000F311F" w:rsidRPr="00E02D7B">
        <w:rPr>
          <w:rFonts w:ascii="Times New Roman" w:hAnsi="Times New Roman" w:cs="Times New Roman"/>
          <w:sz w:val="28"/>
          <w:szCs w:val="28"/>
        </w:rPr>
        <w:t>с</w:t>
      </w:r>
      <w:r w:rsidR="00F24DF9" w:rsidRPr="00E02D7B">
        <w:rPr>
          <w:rFonts w:ascii="Times New Roman" w:hAnsi="Times New Roman" w:cs="Times New Roman"/>
          <w:sz w:val="28"/>
          <w:szCs w:val="28"/>
        </w:rPr>
        <w:t>может</w:t>
      </w:r>
      <w:r w:rsidRPr="00E02D7B">
        <w:rPr>
          <w:rFonts w:ascii="Times New Roman" w:hAnsi="Times New Roman" w:cs="Times New Roman"/>
          <w:sz w:val="28"/>
          <w:szCs w:val="28"/>
        </w:rPr>
        <w:t xml:space="preserve"> извлечь выгоду из снижения</w:t>
      </w:r>
      <w:r w:rsidR="000F311F" w:rsidRPr="00E02D7B">
        <w:rPr>
          <w:rFonts w:ascii="Times New Roman" w:hAnsi="Times New Roman" w:cs="Times New Roman"/>
          <w:sz w:val="28"/>
          <w:szCs w:val="28"/>
        </w:rPr>
        <w:t xml:space="preserve"> </w:t>
      </w:r>
      <w:r w:rsidRPr="00E02D7B">
        <w:rPr>
          <w:rFonts w:ascii="Times New Roman" w:hAnsi="Times New Roman" w:cs="Times New Roman"/>
          <w:sz w:val="28"/>
          <w:szCs w:val="28"/>
        </w:rPr>
        <w:t xml:space="preserve">углеродного следа. </w:t>
      </w:r>
      <w:r w:rsidR="00E02D7B" w:rsidRPr="00E02D7B">
        <w:rPr>
          <w:rFonts w:ascii="Times New Roman" w:hAnsi="Times New Roman" w:cs="Times New Roman"/>
          <w:sz w:val="28"/>
          <w:szCs w:val="28"/>
        </w:rPr>
        <w:t>Возможности</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монетизации</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сокращений</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выбросов</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ограничены, поскольку</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зарубежные финансовые рынки</w:t>
      </w:r>
      <w:r w:rsidR="00E02D7B">
        <w:rPr>
          <w:rFonts w:ascii="Times New Roman" w:hAnsi="Times New Roman" w:cs="Times New Roman"/>
          <w:sz w:val="28"/>
          <w:szCs w:val="28"/>
        </w:rPr>
        <w:t xml:space="preserve"> недоступны </w:t>
      </w:r>
      <w:r w:rsidR="00E02D7B" w:rsidRPr="00E02D7B">
        <w:rPr>
          <w:rFonts w:ascii="Times New Roman" w:hAnsi="Times New Roman" w:cs="Times New Roman"/>
          <w:sz w:val="28"/>
          <w:szCs w:val="28"/>
        </w:rPr>
        <w:t>для российских</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компаний.</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Поэтому</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необходим</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внутренний</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рынок</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зеленых</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сертификатов,</w:t>
      </w:r>
      <w:r w:rsidR="00E02D7B">
        <w:rPr>
          <w:rFonts w:ascii="Times New Roman" w:hAnsi="Times New Roman" w:cs="Times New Roman"/>
          <w:sz w:val="28"/>
          <w:szCs w:val="28"/>
        </w:rPr>
        <w:t xml:space="preserve"> по средствам которого </w:t>
      </w:r>
      <w:r w:rsidR="00E02D7B" w:rsidRPr="00E02D7B">
        <w:rPr>
          <w:rFonts w:ascii="Times New Roman" w:hAnsi="Times New Roman" w:cs="Times New Roman"/>
          <w:sz w:val="28"/>
          <w:szCs w:val="28"/>
        </w:rPr>
        <w:t>государство</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будет</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создавать</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соответствующие</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стимулы</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для компаний,</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стремящихся</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минимизировать</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свое</w:t>
      </w:r>
      <w:r w:rsidR="00E02D7B">
        <w:rPr>
          <w:rFonts w:ascii="Times New Roman" w:hAnsi="Times New Roman" w:cs="Times New Roman"/>
          <w:sz w:val="28"/>
          <w:szCs w:val="28"/>
        </w:rPr>
        <w:t xml:space="preserve"> </w:t>
      </w:r>
      <w:r w:rsidR="00E02D7B" w:rsidRPr="00E02D7B">
        <w:rPr>
          <w:rFonts w:ascii="Times New Roman" w:hAnsi="Times New Roman" w:cs="Times New Roman"/>
          <w:sz w:val="28"/>
          <w:szCs w:val="28"/>
        </w:rPr>
        <w:t>негативное воздействие на окружающую среду.</w:t>
      </w:r>
      <w:r w:rsidR="00E02D7B">
        <w:rPr>
          <w:rFonts w:ascii="Times New Roman" w:hAnsi="Times New Roman" w:cs="Times New Roman"/>
          <w:sz w:val="28"/>
          <w:szCs w:val="28"/>
        </w:rPr>
        <w:t xml:space="preserve"> </w:t>
      </w:r>
    </w:p>
    <w:p w14:paraId="09E88D69" w14:textId="369FD1C7" w:rsidR="0056441C" w:rsidRPr="00E02D7B" w:rsidRDefault="0056441C" w:rsidP="00BC2F55">
      <w:pPr>
        <w:pStyle w:val="a6"/>
        <w:numPr>
          <w:ilvl w:val="0"/>
          <w:numId w:val="11"/>
        </w:numPr>
        <w:spacing w:line="288" w:lineRule="auto"/>
        <w:ind w:left="0" w:firstLine="709"/>
        <w:jc w:val="both"/>
        <w:rPr>
          <w:rFonts w:ascii="Times New Roman" w:hAnsi="Times New Roman" w:cs="Times New Roman"/>
          <w:sz w:val="28"/>
          <w:szCs w:val="28"/>
        </w:rPr>
      </w:pPr>
      <w:r w:rsidRPr="00E02D7B">
        <w:rPr>
          <w:rFonts w:ascii="Times New Roman" w:hAnsi="Times New Roman" w:cs="Times New Roman"/>
          <w:sz w:val="28"/>
          <w:szCs w:val="28"/>
        </w:rPr>
        <w:t xml:space="preserve">Наблюдательный совет Московской биржи утвердил первую экологическую политику компании, которая включает две цели: содействие переходу к </w:t>
      </w:r>
      <w:proofErr w:type="spellStart"/>
      <w:r w:rsidRPr="00E02D7B">
        <w:rPr>
          <w:rFonts w:ascii="Times New Roman" w:hAnsi="Times New Roman" w:cs="Times New Roman"/>
          <w:sz w:val="28"/>
          <w:szCs w:val="28"/>
        </w:rPr>
        <w:t>низкоуглеродной</w:t>
      </w:r>
      <w:proofErr w:type="spellEnd"/>
      <w:r w:rsidRPr="00E02D7B">
        <w:rPr>
          <w:rFonts w:ascii="Times New Roman" w:hAnsi="Times New Roman" w:cs="Times New Roman"/>
          <w:sz w:val="28"/>
          <w:szCs w:val="28"/>
        </w:rPr>
        <w:t xml:space="preserve"> экономике и минимизация собственного негативного воздействия биржи на окружающую среду.</w:t>
      </w:r>
      <w:r w:rsidR="002F1D04" w:rsidRPr="00E02D7B">
        <w:rPr>
          <w:rFonts w:ascii="Times New Roman" w:hAnsi="Times New Roman" w:cs="Times New Roman"/>
          <w:sz w:val="28"/>
          <w:szCs w:val="28"/>
        </w:rPr>
        <w:t xml:space="preserve"> </w:t>
      </w:r>
      <w:r w:rsidRPr="00E02D7B">
        <w:rPr>
          <w:rFonts w:ascii="Times New Roman" w:hAnsi="Times New Roman" w:cs="Times New Roman"/>
          <w:sz w:val="28"/>
          <w:szCs w:val="28"/>
        </w:rPr>
        <w:t xml:space="preserve">Для достижения первой цели Московской бирже недостаточно создать биржевую инфраструктуру в области устойчивого развития. Для достижения этой цели необходимо обеспечить экономические стимулы для реализации проектов по декарбонизации, что требует соответствующих государственных инициатив (льготы, специальное налогообложение), которые придадут экономический смысл участию российских компаний в таких проектах. </w:t>
      </w:r>
    </w:p>
    <w:p w14:paraId="005E81AB" w14:textId="0FD57798" w:rsidR="00581B2E" w:rsidRPr="0056441C" w:rsidRDefault="001D2895" w:rsidP="00931527">
      <w:pPr>
        <w:pStyle w:val="a6"/>
        <w:numPr>
          <w:ilvl w:val="0"/>
          <w:numId w:val="11"/>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Опубликовано</w:t>
      </w:r>
      <w:r w:rsidR="00816D1D" w:rsidRPr="0056441C">
        <w:rPr>
          <w:rFonts w:ascii="Times New Roman" w:hAnsi="Times New Roman" w:cs="Times New Roman"/>
          <w:sz w:val="28"/>
          <w:szCs w:val="28"/>
        </w:rPr>
        <w:t xml:space="preserve"> руководство по </w:t>
      </w:r>
      <w:r>
        <w:rPr>
          <w:rFonts w:ascii="Times New Roman" w:hAnsi="Times New Roman" w:cs="Times New Roman"/>
          <w:sz w:val="28"/>
          <w:szCs w:val="28"/>
        </w:rPr>
        <w:t xml:space="preserve">предоставлению </w:t>
      </w:r>
      <w:r w:rsidR="00816D1D" w:rsidRPr="0056441C">
        <w:rPr>
          <w:rFonts w:ascii="Times New Roman" w:hAnsi="Times New Roman" w:cs="Times New Roman"/>
          <w:sz w:val="28"/>
          <w:szCs w:val="28"/>
        </w:rPr>
        <w:t>информированию о «зеленых» финансовых продуктах</w:t>
      </w:r>
      <w:r w:rsidR="00581B2E" w:rsidRPr="0056441C">
        <w:rPr>
          <w:rFonts w:ascii="Times New Roman" w:hAnsi="Times New Roman" w:cs="Times New Roman"/>
          <w:sz w:val="28"/>
          <w:szCs w:val="28"/>
        </w:rPr>
        <w:t xml:space="preserve">. </w:t>
      </w:r>
      <w:r w:rsidR="00816D1D" w:rsidRPr="0056441C">
        <w:rPr>
          <w:rFonts w:ascii="Times New Roman" w:hAnsi="Times New Roman" w:cs="Times New Roman"/>
          <w:sz w:val="28"/>
          <w:szCs w:val="28"/>
        </w:rPr>
        <w:t xml:space="preserve">Банк России </w:t>
      </w:r>
      <w:r w:rsidR="00377C49">
        <w:rPr>
          <w:rFonts w:ascii="Times New Roman" w:hAnsi="Times New Roman" w:cs="Times New Roman"/>
          <w:sz w:val="28"/>
          <w:szCs w:val="28"/>
        </w:rPr>
        <w:t>выпустил</w:t>
      </w:r>
      <w:r w:rsidR="00816D1D" w:rsidRPr="0056441C">
        <w:rPr>
          <w:rFonts w:ascii="Times New Roman" w:hAnsi="Times New Roman" w:cs="Times New Roman"/>
          <w:sz w:val="28"/>
          <w:szCs w:val="28"/>
        </w:rPr>
        <w:t xml:space="preserve"> рекомендации по предоставлению</w:t>
      </w:r>
      <w:r w:rsidR="00E36750" w:rsidRPr="0056441C">
        <w:rPr>
          <w:rFonts w:ascii="Times New Roman" w:hAnsi="Times New Roman" w:cs="Times New Roman"/>
          <w:sz w:val="28"/>
          <w:szCs w:val="28"/>
        </w:rPr>
        <w:t xml:space="preserve"> </w:t>
      </w:r>
      <w:r w:rsidR="00816D1D" w:rsidRPr="0056441C">
        <w:rPr>
          <w:rFonts w:ascii="Times New Roman" w:hAnsi="Times New Roman" w:cs="Times New Roman"/>
          <w:sz w:val="28"/>
          <w:szCs w:val="28"/>
        </w:rPr>
        <w:t xml:space="preserve">финансовыми организациями информации </w:t>
      </w:r>
      <w:r w:rsidR="00377C49">
        <w:rPr>
          <w:rFonts w:ascii="Times New Roman" w:hAnsi="Times New Roman" w:cs="Times New Roman"/>
          <w:sz w:val="28"/>
          <w:szCs w:val="28"/>
        </w:rPr>
        <w:t xml:space="preserve">своим </w:t>
      </w:r>
      <w:r w:rsidR="00816D1D" w:rsidRPr="0056441C">
        <w:rPr>
          <w:rFonts w:ascii="Times New Roman" w:hAnsi="Times New Roman" w:cs="Times New Roman"/>
          <w:sz w:val="28"/>
          <w:szCs w:val="28"/>
        </w:rPr>
        <w:t>клиентам о финансовых продуктах устойчивого развития.</w:t>
      </w:r>
      <w:r w:rsidR="00581B2E" w:rsidRPr="0056441C">
        <w:rPr>
          <w:rFonts w:ascii="Times New Roman" w:hAnsi="Times New Roman" w:cs="Times New Roman"/>
          <w:sz w:val="28"/>
          <w:szCs w:val="28"/>
        </w:rPr>
        <w:t xml:space="preserve"> </w:t>
      </w:r>
      <w:r w:rsidR="00816D1D" w:rsidRPr="0056441C">
        <w:rPr>
          <w:rFonts w:ascii="Times New Roman" w:hAnsi="Times New Roman" w:cs="Times New Roman"/>
          <w:sz w:val="28"/>
          <w:szCs w:val="28"/>
        </w:rPr>
        <w:t xml:space="preserve">В то же время отечественный рынок финансовых </w:t>
      </w:r>
      <w:r>
        <w:rPr>
          <w:rFonts w:ascii="Times New Roman" w:hAnsi="Times New Roman" w:cs="Times New Roman"/>
          <w:sz w:val="28"/>
          <w:szCs w:val="28"/>
        </w:rPr>
        <w:t>продуктов</w:t>
      </w:r>
      <w:r w:rsidR="00816D1D" w:rsidRPr="0056441C">
        <w:rPr>
          <w:rFonts w:ascii="Times New Roman" w:hAnsi="Times New Roman" w:cs="Times New Roman"/>
          <w:sz w:val="28"/>
          <w:szCs w:val="28"/>
        </w:rPr>
        <w:t xml:space="preserve"> устойчивого развития пока находится </w:t>
      </w:r>
      <w:r>
        <w:rPr>
          <w:rFonts w:ascii="Times New Roman" w:hAnsi="Times New Roman" w:cs="Times New Roman"/>
          <w:sz w:val="28"/>
          <w:szCs w:val="28"/>
        </w:rPr>
        <w:t>в</w:t>
      </w:r>
      <w:r w:rsidR="00816D1D" w:rsidRPr="0056441C">
        <w:rPr>
          <w:rFonts w:ascii="Times New Roman" w:hAnsi="Times New Roman" w:cs="Times New Roman"/>
          <w:sz w:val="28"/>
          <w:szCs w:val="28"/>
        </w:rPr>
        <w:t xml:space="preserve"> стадии </w:t>
      </w:r>
      <w:r>
        <w:rPr>
          <w:rFonts w:ascii="Times New Roman" w:hAnsi="Times New Roman" w:cs="Times New Roman"/>
          <w:sz w:val="28"/>
          <w:szCs w:val="28"/>
        </w:rPr>
        <w:t>становления</w:t>
      </w:r>
      <w:r w:rsidR="00816D1D" w:rsidRPr="0056441C">
        <w:rPr>
          <w:rFonts w:ascii="Times New Roman" w:hAnsi="Times New Roman" w:cs="Times New Roman"/>
          <w:sz w:val="28"/>
          <w:szCs w:val="28"/>
        </w:rPr>
        <w:t xml:space="preserve"> и не может предл</w:t>
      </w:r>
      <w:r w:rsidR="006167DC" w:rsidRPr="0056441C">
        <w:rPr>
          <w:rFonts w:ascii="Times New Roman" w:hAnsi="Times New Roman" w:cs="Times New Roman"/>
          <w:sz w:val="28"/>
          <w:szCs w:val="28"/>
        </w:rPr>
        <w:t>о</w:t>
      </w:r>
      <w:r w:rsidR="00816D1D" w:rsidRPr="0056441C">
        <w:rPr>
          <w:rFonts w:ascii="Times New Roman" w:hAnsi="Times New Roman" w:cs="Times New Roman"/>
          <w:sz w:val="28"/>
          <w:szCs w:val="28"/>
        </w:rPr>
        <w:t xml:space="preserve">жить инвесторам </w:t>
      </w:r>
      <w:r w:rsidR="00816D1D" w:rsidRPr="0056441C">
        <w:rPr>
          <w:rFonts w:ascii="Times New Roman" w:hAnsi="Times New Roman" w:cs="Times New Roman"/>
          <w:sz w:val="28"/>
          <w:szCs w:val="28"/>
        </w:rPr>
        <w:lastRenderedPageBreak/>
        <w:t xml:space="preserve">достаточного </w:t>
      </w:r>
      <w:r>
        <w:rPr>
          <w:rFonts w:ascii="Times New Roman" w:hAnsi="Times New Roman" w:cs="Times New Roman"/>
          <w:sz w:val="28"/>
          <w:szCs w:val="28"/>
        </w:rPr>
        <w:t xml:space="preserve">количества </w:t>
      </w:r>
      <w:r w:rsidR="00816D1D" w:rsidRPr="0056441C">
        <w:rPr>
          <w:rFonts w:ascii="Times New Roman" w:hAnsi="Times New Roman" w:cs="Times New Roman"/>
          <w:sz w:val="28"/>
          <w:szCs w:val="28"/>
        </w:rPr>
        <w:t xml:space="preserve">облигаций или </w:t>
      </w:r>
      <w:r>
        <w:rPr>
          <w:rFonts w:ascii="Times New Roman" w:hAnsi="Times New Roman" w:cs="Times New Roman"/>
          <w:sz w:val="28"/>
          <w:szCs w:val="28"/>
        </w:rPr>
        <w:t>других продуктов</w:t>
      </w:r>
      <w:r w:rsidR="00816D1D" w:rsidRPr="0056441C">
        <w:rPr>
          <w:rFonts w:ascii="Times New Roman" w:hAnsi="Times New Roman" w:cs="Times New Roman"/>
          <w:sz w:val="28"/>
          <w:szCs w:val="28"/>
        </w:rPr>
        <w:t xml:space="preserve">. </w:t>
      </w:r>
      <w:r w:rsidRPr="001D2895">
        <w:rPr>
          <w:rFonts w:ascii="Times New Roman" w:hAnsi="Times New Roman" w:cs="Times New Roman"/>
          <w:sz w:val="28"/>
          <w:szCs w:val="28"/>
        </w:rPr>
        <w:t>Развитию</w:t>
      </w:r>
      <w:r>
        <w:rPr>
          <w:rFonts w:ascii="Times New Roman" w:hAnsi="Times New Roman" w:cs="Times New Roman"/>
          <w:sz w:val="28"/>
          <w:szCs w:val="28"/>
        </w:rPr>
        <w:t xml:space="preserve"> </w:t>
      </w:r>
      <w:r w:rsidRPr="001D2895">
        <w:rPr>
          <w:rFonts w:ascii="Times New Roman" w:hAnsi="Times New Roman" w:cs="Times New Roman"/>
          <w:sz w:val="28"/>
          <w:szCs w:val="28"/>
        </w:rPr>
        <w:t>рынка</w:t>
      </w:r>
      <w:r>
        <w:rPr>
          <w:rFonts w:ascii="Times New Roman" w:hAnsi="Times New Roman" w:cs="Times New Roman"/>
          <w:sz w:val="28"/>
          <w:szCs w:val="28"/>
        </w:rPr>
        <w:t xml:space="preserve"> </w:t>
      </w:r>
      <w:r w:rsidRPr="001D2895">
        <w:rPr>
          <w:rFonts w:ascii="Times New Roman" w:hAnsi="Times New Roman" w:cs="Times New Roman"/>
          <w:sz w:val="28"/>
          <w:szCs w:val="28"/>
        </w:rPr>
        <w:t>способствовал</w:t>
      </w:r>
      <w:r>
        <w:rPr>
          <w:rFonts w:ascii="Times New Roman" w:hAnsi="Times New Roman" w:cs="Times New Roman"/>
          <w:sz w:val="28"/>
          <w:szCs w:val="28"/>
        </w:rPr>
        <w:t xml:space="preserve"> </w:t>
      </w:r>
      <w:r w:rsidRPr="001D2895">
        <w:rPr>
          <w:rFonts w:ascii="Times New Roman" w:hAnsi="Times New Roman" w:cs="Times New Roman"/>
          <w:sz w:val="28"/>
          <w:szCs w:val="28"/>
        </w:rPr>
        <w:t>бы</w:t>
      </w:r>
      <w:r>
        <w:rPr>
          <w:rFonts w:ascii="Times New Roman" w:hAnsi="Times New Roman" w:cs="Times New Roman"/>
          <w:sz w:val="28"/>
          <w:szCs w:val="28"/>
        </w:rPr>
        <w:t xml:space="preserve"> </w:t>
      </w:r>
      <w:r w:rsidRPr="001D2895">
        <w:rPr>
          <w:rFonts w:ascii="Times New Roman" w:hAnsi="Times New Roman" w:cs="Times New Roman"/>
          <w:sz w:val="28"/>
          <w:szCs w:val="28"/>
        </w:rPr>
        <w:t>и ряд других мер,</w:t>
      </w:r>
      <w:r>
        <w:rPr>
          <w:rFonts w:ascii="Times New Roman" w:hAnsi="Times New Roman" w:cs="Times New Roman"/>
          <w:sz w:val="28"/>
          <w:szCs w:val="28"/>
        </w:rPr>
        <w:t xml:space="preserve"> </w:t>
      </w:r>
      <w:r w:rsidRPr="001D2895">
        <w:rPr>
          <w:rFonts w:ascii="Times New Roman" w:hAnsi="Times New Roman" w:cs="Times New Roman"/>
          <w:sz w:val="28"/>
          <w:szCs w:val="28"/>
        </w:rPr>
        <w:t>таких</w:t>
      </w:r>
      <w:r>
        <w:rPr>
          <w:rFonts w:ascii="Times New Roman" w:hAnsi="Times New Roman" w:cs="Times New Roman"/>
          <w:sz w:val="28"/>
          <w:szCs w:val="28"/>
        </w:rPr>
        <w:t xml:space="preserve"> </w:t>
      </w:r>
      <w:r w:rsidRPr="001D2895">
        <w:rPr>
          <w:rFonts w:ascii="Times New Roman" w:hAnsi="Times New Roman" w:cs="Times New Roman"/>
          <w:sz w:val="28"/>
          <w:szCs w:val="28"/>
        </w:rPr>
        <w:t>как</w:t>
      </w:r>
      <w:r>
        <w:rPr>
          <w:rFonts w:ascii="Times New Roman" w:hAnsi="Times New Roman" w:cs="Times New Roman"/>
          <w:sz w:val="28"/>
          <w:szCs w:val="28"/>
        </w:rPr>
        <w:t xml:space="preserve"> </w:t>
      </w:r>
      <w:r w:rsidRPr="001D2895">
        <w:rPr>
          <w:rFonts w:ascii="Times New Roman" w:hAnsi="Times New Roman" w:cs="Times New Roman"/>
          <w:sz w:val="28"/>
          <w:szCs w:val="28"/>
        </w:rPr>
        <w:t>стимулирование</w:t>
      </w:r>
      <w:r>
        <w:rPr>
          <w:rFonts w:ascii="Times New Roman" w:hAnsi="Times New Roman" w:cs="Times New Roman"/>
          <w:sz w:val="28"/>
          <w:szCs w:val="28"/>
        </w:rPr>
        <w:t xml:space="preserve"> </w:t>
      </w:r>
      <w:r w:rsidRPr="001D2895">
        <w:rPr>
          <w:rFonts w:ascii="Times New Roman" w:hAnsi="Times New Roman" w:cs="Times New Roman"/>
          <w:sz w:val="28"/>
          <w:szCs w:val="28"/>
        </w:rPr>
        <w:t>кредитных</w:t>
      </w:r>
      <w:r>
        <w:rPr>
          <w:rFonts w:ascii="Times New Roman" w:hAnsi="Times New Roman" w:cs="Times New Roman"/>
          <w:sz w:val="28"/>
          <w:szCs w:val="28"/>
        </w:rPr>
        <w:t xml:space="preserve"> </w:t>
      </w:r>
      <w:r w:rsidRPr="001D2895">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1D2895">
        <w:rPr>
          <w:rFonts w:ascii="Times New Roman" w:hAnsi="Times New Roman" w:cs="Times New Roman"/>
          <w:sz w:val="28"/>
          <w:szCs w:val="28"/>
        </w:rPr>
        <w:t>и</w:t>
      </w:r>
      <w:r>
        <w:rPr>
          <w:rFonts w:ascii="Times New Roman" w:hAnsi="Times New Roman" w:cs="Times New Roman"/>
          <w:sz w:val="28"/>
          <w:szCs w:val="28"/>
        </w:rPr>
        <w:t xml:space="preserve"> </w:t>
      </w:r>
      <w:r w:rsidRPr="001D2895">
        <w:rPr>
          <w:rFonts w:ascii="Times New Roman" w:hAnsi="Times New Roman" w:cs="Times New Roman"/>
          <w:sz w:val="28"/>
          <w:szCs w:val="28"/>
        </w:rPr>
        <w:t>снижение</w:t>
      </w:r>
      <w:r>
        <w:rPr>
          <w:rFonts w:ascii="Times New Roman" w:hAnsi="Times New Roman" w:cs="Times New Roman"/>
          <w:sz w:val="28"/>
          <w:szCs w:val="28"/>
        </w:rPr>
        <w:t xml:space="preserve"> </w:t>
      </w:r>
      <w:r w:rsidRPr="001D2895">
        <w:rPr>
          <w:rFonts w:ascii="Times New Roman" w:hAnsi="Times New Roman" w:cs="Times New Roman"/>
          <w:sz w:val="28"/>
          <w:szCs w:val="28"/>
        </w:rPr>
        <w:t>ставок</w:t>
      </w:r>
      <w:r>
        <w:rPr>
          <w:rFonts w:ascii="Times New Roman" w:hAnsi="Times New Roman" w:cs="Times New Roman"/>
          <w:sz w:val="28"/>
          <w:szCs w:val="28"/>
        </w:rPr>
        <w:t xml:space="preserve"> </w:t>
      </w:r>
      <w:r w:rsidRPr="001D2895">
        <w:rPr>
          <w:rFonts w:ascii="Times New Roman" w:hAnsi="Times New Roman" w:cs="Times New Roman"/>
          <w:sz w:val="28"/>
          <w:szCs w:val="28"/>
        </w:rPr>
        <w:t>предоставления</w:t>
      </w:r>
      <w:r w:rsidR="00816D1D" w:rsidRPr="0056441C">
        <w:rPr>
          <w:rFonts w:ascii="Times New Roman" w:hAnsi="Times New Roman" w:cs="Times New Roman"/>
          <w:sz w:val="28"/>
          <w:szCs w:val="28"/>
        </w:rPr>
        <w:t xml:space="preserve"> по финансовым инструментам устойчивого развития</w:t>
      </w:r>
      <w:r>
        <w:rPr>
          <w:rFonts w:ascii="Times New Roman" w:hAnsi="Times New Roman" w:cs="Times New Roman"/>
          <w:sz w:val="28"/>
          <w:szCs w:val="28"/>
        </w:rPr>
        <w:t>.</w:t>
      </w:r>
    </w:p>
    <w:p w14:paraId="3FD9A5D9" w14:textId="7AABEE9A" w:rsidR="00816D1D" w:rsidRPr="00581B2E" w:rsidRDefault="008E30BF" w:rsidP="002F2466">
      <w:pPr>
        <w:pStyle w:val="a6"/>
        <w:numPr>
          <w:ilvl w:val="0"/>
          <w:numId w:val="11"/>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Эксперты ДОМ.РФ прогнозируют</w:t>
      </w:r>
      <w:r w:rsidR="00F87E77">
        <w:rPr>
          <w:rFonts w:ascii="Times New Roman" w:hAnsi="Times New Roman" w:cs="Times New Roman"/>
          <w:sz w:val="28"/>
          <w:szCs w:val="28"/>
        </w:rPr>
        <w:t>, ч</w:t>
      </w:r>
      <w:r w:rsidR="00F87E77" w:rsidRPr="00F87E77">
        <w:rPr>
          <w:rFonts w:ascii="Times New Roman" w:hAnsi="Times New Roman" w:cs="Times New Roman"/>
          <w:sz w:val="28"/>
          <w:szCs w:val="28"/>
        </w:rPr>
        <w:t>то</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меры</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по</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продвижению</w:t>
      </w:r>
      <w:r w:rsidR="00F87E77">
        <w:rPr>
          <w:rFonts w:ascii="Times New Roman" w:hAnsi="Times New Roman" w:cs="Times New Roman"/>
          <w:sz w:val="28"/>
          <w:szCs w:val="28"/>
        </w:rPr>
        <w:t xml:space="preserve"> экодомов </w:t>
      </w:r>
      <w:r w:rsidR="00F87E77" w:rsidRPr="00F87E77">
        <w:rPr>
          <w:rFonts w:ascii="Times New Roman" w:hAnsi="Times New Roman" w:cs="Times New Roman"/>
          <w:sz w:val="28"/>
          <w:szCs w:val="28"/>
        </w:rPr>
        <w:t>позволят</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увеличить</w:t>
      </w:r>
      <w:r w:rsidR="00F87E77">
        <w:rPr>
          <w:rFonts w:ascii="Times New Roman" w:hAnsi="Times New Roman" w:cs="Times New Roman"/>
          <w:sz w:val="28"/>
          <w:szCs w:val="28"/>
        </w:rPr>
        <w:t xml:space="preserve"> их </w:t>
      </w:r>
      <w:r w:rsidR="00F87E77" w:rsidRPr="00F87E77">
        <w:rPr>
          <w:rFonts w:ascii="Times New Roman" w:hAnsi="Times New Roman" w:cs="Times New Roman"/>
          <w:sz w:val="28"/>
          <w:szCs w:val="28"/>
        </w:rPr>
        <w:t>долю</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в</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России</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до</w:t>
      </w:r>
      <w:r w:rsidR="00F87E77">
        <w:rPr>
          <w:rFonts w:ascii="Times New Roman" w:hAnsi="Times New Roman" w:cs="Times New Roman"/>
          <w:sz w:val="28"/>
          <w:szCs w:val="28"/>
        </w:rPr>
        <w:t xml:space="preserve"> </w:t>
      </w:r>
      <w:r w:rsidR="00F87E77" w:rsidRPr="00F87E77">
        <w:rPr>
          <w:rFonts w:ascii="Times New Roman" w:hAnsi="Times New Roman" w:cs="Times New Roman"/>
          <w:sz w:val="28"/>
          <w:szCs w:val="28"/>
        </w:rPr>
        <w:t>20%</w:t>
      </w:r>
      <w:r w:rsidR="00F87E77">
        <w:rPr>
          <w:rFonts w:ascii="Times New Roman" w:hAnsi="Times New Roman" w:cs="Times New Roman"/>
          <w:sz w:val="28"/>
          <w:szCs w:val="28"/>
        </w:rPr>
        <w:t xml:space="preserve">, </w:t>
      </w:r>
      <w:r w:rsidR="002F2466">
        <w:rPr>
          <w:rFonts w:ascii="Times New Roman" w:hAnsi="Times New Roman" w:cs="Times New Roman"/>
          <w:sz w:val="28"/>
          <w:szCs w:val="28"/>
        </w:rPr>
        <w:t xml:space="preserve">что </w:t>
      </w:r>
      <w:r>
        <w:rPr>
          <w:rFonts w:ascii="Times New Roman" w:hAnsi="Times New Roman" w:cs="Times New Roman"/>
          <w:sz w:val="28"/>
          <w:szCs w:val="28"/>
        </w:rPr>
        <w:t xml:space="preserve">в последствие </w:t>
      </w:r>
      <w:r w:rsidR="002F2466">
        <w:rPr>
          <w:rFonts w:ascii="Times New Roman" w:hAnsi="Times New Roman" w:cs="Times New Roman"/>
          <w:sz w:val="28"/>
          <w:szCs w:val="28"/>
        </w:rPr>
        <w:t>принесет выгоду</w:t>
      </w:r>
      <w:r w:rsidR="00816D1D" w:rsidRPr="00581B2E">
        <w:rPr>
          <w:rFonts w:ascii="Times New Roman" w:hAnsi="Times New Roman" w:cs="Times New Roman"/>
          <w:sz w:val="28"/>
          <w:szCs w:val="28"/>
        </w:rPr>
        <w:t xml:space="preserve"> для всех участников</w:t>
      </w:r>
      <w:r>
        <w:rPr>
          <w:rFonts w:ascii="Times New Roman" w:hAnsi="Times New Roman" w:cs="Times New Roman"/>
          <w:sz w:val="28"/>
          <w:szCs w:val="28"/>
        </w:rPr>
        <w:t xml:space="preserve"> рынка</w:t>
      </w:r>
      <w:r w:rsidR="00AA0716">
        <w:rPr>
          <w:rFonts w:ascii="Times New Roman" w:hAnsi="Times New Roman" w:cs="Times New Roman"/>
          <w:sz w:val="28"/>
          <w:szCs w:val="28"/>
        </w:rPr>
        <w:t>: г</w:t>
      </w:r>
      <w:r w:rsidR="00816D1D" w:rsidRPr="00581B2E">
        <w:rPr>
          <w:rFonts w:ascii="Times New Roman" w:hAnsi="Times New Roman" w:cs="Times New Roman"/>
          <w:sz w:val="28"/>
          <w:szCs w:val="28"/>
        </w:rPr>
        <w:t>осударство получает выгоду от снижения выбросов, застройщики — рост цены реализации и выручки, жители — экологичное жилье и пониженные расходы на эксплуатацию. Однако</w:t>
      </w:r>
      <w:r>
        <w:rPr>
          <w:rFonts w:ascii="Times New Roman" w:hAnsi="Times New Roman" w:cs="Times New Roman"/>
          <w:sz w:val="28"/>
          <w:szCs w:val="28"/>
        </w:rPr>
        <w:t xml:space="preserve"> если для </w:t>
      </w:r>
      <w:r w:rsidR="00371E06">
        <w:rPr>
          <w:rFonts w:ascii="Times New Roman" w:hAnsi="Times New Roman" w:cs="Times New Roman"/>
          <w:sz w:val="28"/>
          <w:szCs w:val="28"/>
        </w:rPr>
        <w:t>застройщиков</w:t>
      </w:r>
      <w:r>
        <w:rPr>
          <w:rFonts w:ascii="Times New Roman" w:hAnsi="Times New Roman" w:cs="Times New Roman"/>
          <w:sz w:val="28"/>
          <w:szCs w:val="28"/>
        </w:rPr>
        <w:t xml:space="preserve"> процесс монетизации прост и очевиден: продажа экодомов по более высоким ценам за счет их </w:t>
      </w:r>
      <w:proofErr w:type="spellStart"/>
      <w:r>
        <w:rPr>
          <w:rFonts w:ascii="Times New Roman" w:hAnsi="Times New Roman" w:cs="Times New Roman"/>
          <w:sz w:val="28"/>
          <w:szCs w:val="28"/>
        </w:rPr>
        <w:t>премиальности</w:t>
      </w:r>
      <w:proofErr w:type="spellEnd"/>
      <w:r w:rsidR="00371E06">
        <w:rPr>
          <w:rFonts w:ascii="Times New Roman" w:hAnsi="Times New Roman" w:cs="Times New Roman"/>
          <w:sz w:val="28"/>
          <w:szCs w:val="28"/>
        </w:rPr>
        <w:t xml:space="preserve"> и как следствие рост прибыли</w:t>
      </w:r>
      <w:r>
        <w:rPr>
          <w:rFonts w:ascii="Times New Roman" w:hAnsi="Times New Roman" w:cs="Times New Roman"/>
          <w:sz w:val="28"/>
          <w:szCs w:val="28"/>
        </w:rPr>
        <w:t>, то</w:t>
      </w:r>
      <w:r w:rsidR="00371E06">
        <w:rPr>
          <w:rFonts w:ascii="Times New Roman" w:hAnsi="Times New Roman" w:cs="Times New Roman"/>
          <w:sz w:val="28"/>
          <w:szCs w:val="28"/>
        </w:rPr>
        <w:t xml:space="preserve"> </w:t>
      </w:r>
      <w:r w:rsidR="00816D1D" w:rsidRPr="00581B2E">
        <w:rPr>
          <w:rFonts w:ascii="Times New Roman" w:hAnsi="Times New Roman" w:cs="Times New Roman"/>
          <w:sz w:val="28"/>
          <w:szCs w:val="28"/>
        </w:rPr>
        <w:t>государств</w:t>
      </w:r>
      <w:r w:rsidR="00371E06">
        <w:rPr>
          <w:rFonts w:ascii="Times New Roman" w:hAnsi="Times New Roman" w:cs="Times New Roman"/>
          <w:sz w:val="28"/>
          <w:szCs w:val="28"/>
        </w:rPr>
        <w:t>у</w:t>
      </w:r>
      <w:r w:rsidR="00816D1D" w:rsidRPr="00581B2E">
        <w:rPr>
          <w:rFonts w:ascii="Times New Roman" w:hAnsi="Times New Roman" w:cs="Times New Roman"/>
          <w:sz w:val="28"/>
          <w:szCs w:val="28"/>
        </w:rPr>
        <w:t xml:space="preserve"> и граждан</w:t>
      </w:r>
      <w:r w:rsidR="00371E06">
        <w:rPr>
          <w:rFonts w:ascii="Times New Roman" w:hAnsi="Times New Roman" w:cs="Times New Roman"/>
          <w:sz w:val="28"/>
          <w:szCs w:val="28"/>
        </w:rPr>
        <w:t>ам</w:t>
      </w:r>
      <w:r w:rsidR="00816D1D" w:rsidRPr="00581B2E">
        <w:rPr>
          <w:rFonts w:ascii="Times New Roman" w:hAnsi="Times New Roman" w:cs="Times New Roman"/>
          <w:sz w:val="28"/>
          <w:szCs w:val="28"/>
        </w:rPr>
        <w:t xml:space="preserve"> монетизировать выгоду будет сложнее. </w:t>
      </w:r>
    </w:p>
    <w:p w14:paraId="408BADB4" w14:textId="780D5525" w:rsidR="00581B2E" w:rsidRDefault="00581B2E" w:rsidP="002F2466">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Первые итоги 2023 г подтверждают, что</w:t>
      </w:r>
      <w:r w:rsidR="00816D1D" w:rsidRPr="00816D1D">
        <w:rPr>
          <w:rFonts w:ascii="Times New Roman" w:hAnsi="Times New Roman" w:cs="Times New Roman"/>
          <w:sz w:val="28"/>
          <w:szCs w:val="28"/>
        </w:rPr>
        <w:t xml:space="preserve"> Россия продолжает быть частью глобальной климатической повестки и </w:t>
      </w:r>
      <w:r w:rsidR="00377C49">
        <w:rPr>
          <w:rFonts w:ascii="Times New Roman" w:hAnsi="Times New Roman" w:cs="Times New Roman"/>
          <w:sz w:val="28"/>
          <w:szCs w:val="28"/>
        </w:rPr>
        <w:t>предпринимает</w:t>
      </w:r>
      <w:r w:rsidR="00816D1D" w:rsidRPr="00816D1D">
        <w:rPr>
          <w:rFonts w:ascii="Times New Roman" w:hAnsi="Times New Roman" w:cs="Times New Roman"/>
          <w:sz w:val="28"/>
          <w:szCs w:val="28"/>
        </w:rPr>
        <w:t xml:space="preserve"> успешные шаги для реализации Стратегии низкоуглеродного развития России до 2050 года.</w:t>
      </w:r>
      <w:r w:rsidR="00371E06">
        <w:rPr>
          <w:rFonts w:ascii="Times New Roman" w:hAnsi="Times New Roman" w:cs="Times New Roman"/>
          <w:sz w:val="28"/>
          <w:szCs w:val="28"/>
        </w:rPr>
        <w:t xml:space="preserve"> </w:t>
      </w:r>
      <w:r w:rsidRPr="00581B2E">
        <w:rPr>
          <w:rFonts w:ascii="Times New Roman" w:hAnsi="Times New Roman" w:cs="Times New Roman"/>
          <w:sz w:val="28"/>
          <w:szCs w:val="28"/>
        </w:rPr>
        <w:t>ESG-трансформаци</w:t>
      </w:r>
      <w:r w:rsidR="005B26C3">
        <w:rPr>
          <w:rFonts w:ascii="Times New Roman" w:hAnsi="Times New Roman" w:cs="Times New Roman"/>
          <w:sz w:val="28"/>
          <w:szCs w:val="28"/>
        </w:rPr>
        <w:t>я</w:t>
      </w:r>
      <w:r w:rsidRPr="00581B2E">
        <w:rPr>
          <w:rFonts w:ascii="Times New Roman" w:hAnsi="Times New Roman" w:cs="Times New Roman"/>
          <w:sz w:val="28"/>
          <w:szCs w:val="28"/>
        </w:rPr>
        <w:t xml:space="preserve"> в России </w:t>
      </w:r>
      <w:r w:rsidR="005B26C3">
        <w:rPr>
          <w:rFonts w:ascii="Times New Roman" w:hAnsi="Times New Roman" w:cs="Times New Roman"/>
          <w:sz w:val="28"/>
          <w:szCs w:val="28"/>
        </w:rPr>
        <w:t xml:space="preserve">имеет </w:t>
      </w:r>
      <w:r w:rsidRPr="00581B2E">
        <w:rPr>
          <w:rFonts w:ascii="Times New Roman" w:hAnsi="Times New Roman" w:cs="Times New Roman"/>
          <w:sz w:val="28"/>
          <w:szCs w:val="28"/>
        </w:rPr>
        <w:t>большой потенциал</w:t>
      </w:r>
      <w:r w:rsidR="00371E06">
        <w:rPr>
          <w:rFonts w:ascii="Times New Roman" w:hAnsi="Times New Roman" w:cs="Times New Roman"/>
          <w:sz w:val="28"/>
          <w:szCs w:val="28"/>
        </w:rPr>
        <w:t xml:space="preserve"> </w:t>
      </w:r>
      <w:r w:rsidRPr="00581B2E">
        <w:rPr>
          <w:rFonts w:ascii="Times New Roman" w:hAnsi="Times New Roman" w:cs="Times New Roman"/>
          <w:sz w:val="28"/>
          <w:szCs w:val="28"/>
        </w:rPr>
        <w:t>развития</w:t>
      </w:r>
      <w:r w:rsidR="00EF64BB">
        <w:rPr>
          <w:rFonts w:ascii="Times New Roman" w:hAnsi="Times New Roman" w:cs="Times New Roman"/>
          <w:sz w:val="28"/>
          <w:szCs w:val="28"/>
        </w:rPr>
        <w:t xml:space="preserve">, </w:t>
      </w:r>
      <w:r w:rsidR="005B26C3">
        <w:rPr>
          <w:rFonts w:ascii="Times New Roman" w:hAnsi="Times New Roman" w:cs="Times New Roman"/>
          <w:sz w:val="28"/>
          <w:szCs w:val="28"/>
        </w:rPr>
        <w:t xml:space="preserve">но </w:t>
      </w:r>
      <w:r w:rsidRPr="00581B2E">
        <w:rPr>
          <w:rFonts w:ascii="Times New Roman" w:hAnsi="Times New Roman" w:cs="Times New Roman"/>
          <w:sz w:val="28"/>
          <w:szCs w:val="28"/>
        </w:rPr>
        <w:t>требует совместных усилий всех заинтересованных сторон</w:t>
      </w:r>
      <w:r w:rsidR="005B26C3">
        <w:rPr>
          <w:rFonts w:ascii="Times New Roman" w:hAnsi="Times New Roman" w:cs="Times New Roman"/>
          <w:sz w:val="28"/>
          <w:szCs w:val="28"/>
        </w:rPr>
        <w:t xml:space="preserve"> - </w:t>
      </w:r>
      <w:r w:rsidRPr="00581B2E">
        <w:rPr>
          <w:rFonts w:ascii="Times New Roman" w:hAnsi="Times New Roman" w:cs="Times New Roman"/>
          <w:sz w:val="28"/>
          <w:szCs w:val="28"/>
        </w:rPr>
        <w:t>государства, бизнеса, инфраструктуры, инвесторов и общества. Только при наличии един</w:t>
      </w:r>
      <w:r w:rsidR="005B26C3">
        <w:rPr>
          <w:rFonts w:ascii="Times New Roman" w:hAnsi="Times New Roman" w:cs="Times New Roman"/>
          <w:sz w:val="28"/>
          <w:szCs w:val="28"/>
        </w:rPr>
        <w:t>ого</w:t>
      </w:r>
      <w:r w:rsidRPr="00581B2E">
        <w:rPr>
          <w:rFonts w:ascii="Times New Roman" w:hAnsi="Times New Roman" w:cs="Times New Roman"/>
          <w:sz w:val="28"/>
          <w:szCs w:val="28"/>
        </w:rPr>
        <w:t xml:space="preserve"> базов</w:t>
      </w:r>
      <w:r w:rsidR="005B26C3">
        <w:rPr>
          <w:rFonts w:ascii="Times New Roman" w:hAnsi="Times New Roman" w:cs="Times New Roman"/>
          <w:sz w:val="28"/>
          <w:szCs w:val="28"/>
        </w:rPr>
        <w:t>ого</w:t>
      </w:r>
      <w:r w:rsidRPr="00581B2E">
        <w:rPr>
          <w:rFonts w:ascii="Times New Roman" w:hAnsi="Times New Roman" w:cs="Times New Roman"/>
          <w:sz w:val="28"/>
          <w:szCs w:val="28"/>
        </w:rPr>
        <w:t xml:space="preserve"> подход</w:t>
      </w:r>
      <w:r w:rsidR="005B26C3">
        <w:rPr>
          <w:rFonts w:ascii="Times New Roman" w:hAnsi="Times New Roman" w:cs="Times New Roman"/>
          <w:sz w:val="28"/>
          <w:szCs w:val="28"/>
        </w:rPr>
        <w:t>а</w:t>
      </w:r>
      <w:r w:rsidRPr="00581B2E">
        <w:rPr>
          <w:rFonts w:ascii="Times New Roman" w:hAnsi="Times New Roman" w:cs="Times New Roman"/>
          <w:sz w:val="28"/>
          <w:szCs w:val="28"/>
        </w:rPr>
        <w:t xml:space="preserve"> и стандартов, высокого уровня </w:t>
      </w:r>
      <w:r w:rsidR="005B26C3">
        <w:rPr>
          <w:rFonts w:ascii="Times New Roman" w:hAnsi="Times New Roman" w:cs="Times New Roman"/>
          <w:sz w:val="28"/>
          <w:szCs w:val="28"/>
        </w:rPr>
        <w:t>информированности</w:t>
      </w:r>
      <w:r w:rsidRPr="00581B2E">
        <w:rPr>
          <w:rFonts w:ascii="Times New Roman" w:hAnsi="Times New Roman" w:cs="Times New Roman"/>
          <w:sz w:val="28"/>
          <w:szCs w:val="28"/>
        </w:rPr>
        <w:t xml:space="preserve"> и заинтересованности, а также достаточных стимулов и поддержки можно добиться реальных результатов </w:t>
      </w:r>
      <w:r w:rsidR="005B26C3">
        <w:rPr>
          <w:rFonts w:ascii="Times New Roman" w:hAnsi="Times New Roman" w:cs="Times New Roman"/>
          <w:sz w:val="28"/>
          <w:szCs w:val="28"/>
        </w:rPr>
        <w:t>-</w:t>
      </w:r>
      <w:r w:rsidRPr="00581B2E">
        <w:rPr>
          <w:rFonts w:ascii="Times New Roman" w:hAnsi="Times New Roman" w:cs="Times New Roman"/>
          <w:sz w:val="28"/>
          <w:szCs w:val="28"/>
        </w:rPr>
        <w:t xml:space="preserve"> достижени</w:t>
      </w:r>
      <w:r w:rsidR="005B26C3">
        <w:rPr>
          <w:rFonts w:ascii="Times New Roman" w:hAnsi="Times New Roman" w:cs="Times New Roman"/>
          <w:sz w:val="28"/>
          <w:szCs w:val="28"/>
        </w:rPr>
        <w:t>е</w:t>
      </w:r>
      <w:r w:rsidRPr="00581B2E">
        <w:rPr>
          <w:rFonts w:ascii="Times New Roman" w:hAnsi="Times New Roman" w:cs="Times New Roman"/>
          <w:sz w:val="28"/>
          <w:szCs w:val="28"/>
        </w:rPr>
        <w:t xml:space="preserve"> целей устойчивого развития.                                                                                                                    </w:t>
      </w:r>
    </w:p>
    <w:p w14:paraId="519756B9" w14:textId="3D29DF94" w:rsidR="00F8220D" w:rsidRPr="00F8220D" w:rsidRDefault="00F8220D" w:rsidP="00F8220D">
      <w:pPr>
        <w:pStyle w:val="yl27r"/>
        <w:shd w:val="clear" w:color="auto" w:fill="FCFCFC"/>
        <w:spacing w:before="240" w:after="480" w:line="288" w:lineRule="auto"/>
        <w:contextualSpacing/>
        <w:rPr>
          <w:b/>
          <w:bCs/>
          <w:color w:val="000000" w:themeColor="text1"/>
          <w:sz w:val="28"/>
          <w:szCs w:val="28"/>
        </w:rPr>
      </w:pPr>
      <w:r w:rsidRPr="00F8220D">
        <w:rPr>
          <w:b/>
          <w:bCs/>
          <w:sz w:val="28"/>
          <w:szCs w:val="28"/>
        </w:rPr>
        <w:t>Библиографический список</w:t>
      </w:r>
    </w:p>
    <w:p w14:paraId="1260BBD9" w14:textId="0D8CD338" w:rsidR="000F30C1" w:rsidRPr="00880A72" w:rsidRDefault="00E627E0" w:rsidP="00E627E0">
      <w:pPr>
        <w:pStyle w:val="yl27r"/>
        <w:numPr>
          <w:ilvl w:val="0"/>
          <w:numId w:val="2"/>
        </w:numPr>
        <w:shd w:val="clear" w:color="auto" w:fill="FCFCFC"/>
        <w:spacing w:before="240" w:beforeAutospacing="0" w:after="480" w:afterAutospacing="0"/>
        <w:contextualSpacing/>
        <w:jc w:val="both"/>
        <w:rPr>
          <w:sz w:val="28"/>
          <w:szCs w:val="28"/>
        </w:rPr>
      </w:pPr>
      <w:r w:rsidRPr="00880A72">
        <w:rPr>
          <w:sz w:val="28"/>
          <w:szCs w:val="28"/>
        </w:rPr>
        <w:t xml:space="preserve">Процесс подготовки эмиссии облигаций: Сайт Московской биржи. </w:t>
      </w:r>
      <w:r w:rsidRPr="00880A72">
        <w:rPr>
          <w:sz w:val="28"/>
          <w:szCs w:val="28"/>
          <w:lang w:val="en-US"/>
        </w:rPr>
        <w:t>URL</w:t>
      </w:r>
      <w:r w:rsidRPr="00880A72">
        <w:rPr>
          <w:sz w:val="28"/>
          <w:szCs w:val="28"/>
        </w:rPr>
        <w:t xml:space="preserve">: </w:t>
      </w:r>
      <w:hyperlink r:id="rId12" w:history="1">
        <w:r w:rsidRPr="00880A72">
          <w:rPr>
            <w:rStyle w:val="a3"/>
            <w:sz w:val="28"/>
            <w:szCs w:val="28"/>
            <w:lang w:val="en-US"/>
          </w:rPr>
          <w:t>https</w:t>
        </w:r>
        <w:r w:rsidRPr="00880A72">
          <w:rPr>
            <w:rStyle w:val="a3"/>
            <w:sz w:val="28"/>
            <w:szCs w:val="28"/>
          </w:rPr>
          <w:t>://</w:t>
        </w:r>
        <w:proofErr w:type="spellStart"/>
        <w:r w:rsidRPr="00880A72">
          <w:rPr>
            <w:rStyle w:val="a3"/>
            <w:sz w:val="28"/>
            <w:szCs w:val="28"/>
            <w:lang w:val="en-US"/>
          </w:rPr>
          <w:t>bondguide</w:t>
        </w:r>
        <w:proofErr w:type="spellEnd"/>
        <w:r w:rsidRPr="00880A72">
          <w:rPr>
            <w:rStyle w:val="a3"/>
            <w:sz w:val="28"/>
            <w:szCs w:val="28"/>
          </w:rPr>
          <w:t>.</w:t>
        </w:r>
        <w:proofErr w:type="spellStart"/>
        <w:r w:rsidRPr="00880A72">
          <w:rPr>
            <w:rStyle w:val="a3"/>
            <w:sz w:val="28"/>
            <w:szCs w:val="28"/>
            <w:lang w:val="en-US"/>
          </w:rPr>
          <w:t>moex</w:t>
        </w:r>
        <w:proofErr w:type="spellEnd"/>
        <w:r w:rsidRPr="00880A72">
          <w:rPr>
            <w:rStyle w:val="a3"/>
            <w:sz w:val="28"/>
            <w:szCs w:val="28"/>
          </w:rPr>
          <w:t>.</w:t>
        </w:r>
        <w:r w:rsidRPr="00880A72">
          <w:rPr>
            <w:rStyle w:val="a3"/>
            <w:sz w:val="28"/>
            <w:szCs w:val="28"/>
            <w:lang w:val="en-US"/>
          </w:rPr>
          <w:t>com</w:t>
        </w:r>
        <w:r w:rsidRPr="00880A72">
          <w:rPr>
            <w:rStyle w:val="a3"/>
            <w:sz w:val="28"/>
            <w:szCs w:val="28"/>
          </w:rPr>
          <w:t>/</w:t>
        </w:r>
        <w:r w:rsidRPr="00880A72">
          <w:rPr>
            <w:rStyle w:val="a3"/>
            <w:sz w:val="28"/>
            <w:szCs w:val="28"/>
            <w:lang w:val="en-US"/>
          </w:rPr>
          <w:t>articles</w:t>
        </w:r>
        <w:r w:rsidRPr="00880A72">
          <w:rPr>
            <w:rStyle w:val="a3"/>
            <w:sz w:val="28"/>
            <w:szCs w:val="28"/>
          </w:rPr>
          <w:t>/</w:t>
        </w:r>
        <w:r w:rsidRPr="00880A72">
          <w:rPr>
            <w:rStyle w:val="a3"/>
            <w:sz w:val="28"/>
            <w:szCs w:val="28"/>
            <w:lang w:val="en-US"/>
          </w:rPr>
          <w:t>bond</w:t>
        </w:r>
        <w:r w:rsidRPr="00880A72">
          <w:rPr>
            <w:rStyle w:val="a3"/>
            <w:sz w:val="28"/>
            <w:szCs w:val="28"/>
          </w:rPr>
          <w:t>-</w:t>
        </w:r>
        <w:r w:rsidRPr="00880A72">
          <w:rPr>
            <w:rStyle w:val="a3"/>
            <w:sz w:val="28"/>
            <w:szCs w:val="28"/>
            <w:lang w:val="en-US"/>
          </w:rPr>
          <w:t>preparation</w:t>
        </w:r>
        <w:r w:rsidRPr="00880A72">
          <w:rPr>
            <w:rStyle w:val="a3"/>
            <w:sz w:val="28"/>
            <w:szCs w:val="28"/>
          </w:rPr>
          <w:t>-</w:t>
        </w:r>
        <w:r w:rsidRPr="00880A72">
          <w:rPr>
            <w:rStyle w:val="a3"/>
            <w:sz w:val="28"/>
            <w:szCs w:val="28"/>
            <w:lang w:val="en-US"/>
          </w:rPr>
          <w:t>process</w:t>
        </w:r>
        <w:r w:rsidRPr="00880A72">
          <w:rPr>
            <w:rStyle w:val="a3"/>
            <w:sz w:val="28"/>
            <w:szCs w:val="28"/>
          </w:rPr>
          <w:t>/42</w:t>
        </w:r>
      </w:hyperlink>
      <w:r w:rsidRPr="00880A72">
        <w:rPr>
          <w:sz w:val="28"/>
          <w:szCs w:val="28"/>
        </w:rPr>
        <w:t xml:space="preserve"> (дата обращения </w:t>
      </w:r>
      <w:r w:rsidR="00F8220D">
        <w:rPr>
          <w:sz w:val="28"/>
          <w:szCs w:val="28"/>
        </w:rPr>
        <w:t>1</w:t>
      </w:r>
      <w:r w:rsidR="00BD3C02">
        <w:rPr>
          <w:sz w:val="28"/>
          <w:szCs w:val="28"/>
        </w:rPr>
        <w:t>5</w:t>
      </w:r>
      <w:r w:rsidR="00880A72" w:rsidRPr="00880A72">
        <w:rPr>
          <w:sz w:val="28"/>
          <w:szCs w:val="28"/>
        </w:rPr>
        <w:t>.1</w:t>
      </w:r>
      <w:r w:rsidR="00BD3C02">
        <w:rPr>
          <w:sz w:val="28"/>
          <w:szCs w:val="28"/>
        </w:rPr>
        <w:t>0</w:t>
      </w:r>
      <w:r w:rsidR="00880A72" w:rsidRPr="00880A72">
        <w:rPr>
          <w:sz w:val="28"/>
          <w:szCs w:val="28"/>
        </w:rPr>
        <w:t>.202</w:t>
      </w:r>
      <w:r w:rsidR="00BD3C02">
        <w:rPr>
          <w:sz w:val="28"/>
          <w:szCs w:val="28"/>
        </w:rPr>
        <w:t>3</w:t>
      </w:r>
      <w:r w:rsidR="00880A72" w:rsidRPr="00880A72">
        <w:rPr>
          <w:sz w:val="28"/>
          <w:szCs w:val="28"/>
        </w:rPr>
        <w:t>)</w:t>
      </w:r>
    </w:p>
    <w:p w14:paraId="66637878" w14:textId="13CAE151" w:rsidR="00EB40FF" w:rsidRDefault="00880A72" w:rsidP="00EB40FF">
      <w:pPr>
        <w:pStyle w:val="yl27r"/>
        <w:numPr>
          <w:ilvl w:val="0"/>
          <w:numId w:val="2"/>
        </w:numPr>
        <w:shd w:val="clear" w:color="auto" w:fill="FCFCFC"/>
        <w:spacing w:before="240" w:beforeAutospacing="0" w:after="480" w:afterAutospacing="0"/>
        <w:contextualSpacing/>
        <w:jc w:val="both"/>
        <w:rPr>
          <w:sz w:val="28"/>
          <w:szCs w:val="28"/>
        </w:rPr>
      </w:pPr>
      <w:r w:rsidRPr="00880A72">
        <w:rPr>
          <w:sz w:val="28"/>
          <w:szCs w:val="28"/>
        </w:rPr>
        <w:t>«ESG было пасом западным инвесторам»: есть ли будущее у зеленых облигаций</w:t>
      </w:r>
      <w:r w:rsidR="00EB40FF">
        <w:rPr>
          <w:sz w:val="28"/>
          <w:szCs w:val="28"/>
        </w:rPr>
        <w:t>: электрон. журнал. 2022.</w:t>
      </w:r>
      <w:r w:rsidR="00EB40FF" w:rsidRPr="00EB40FF">
        <w:rPr>
          <w:sz w:val="28"/>
          <w:szCs w:val="28"/>
        </w:rPr>
        <w:t xml:space="preserve"> </w:t>
      </w:r>
      <w:r w:rsidR="00EB40FF" w:rsidRPr="00880A72">
        <w:rPr>
          <w:sz w:val="28"/>
          <w:szCs w:val="28"/>
          <w:lang w:val="en-US"/>
        </w:rPr>
        <w:t>URL</w:t>
      </w:r>
      <w:r w:rsidR="00EB40FF" w:rsidRPr="00880A72">
        <w:rPr>
          <w:sz w:val="28"/>
          <w:szCs w:val="28"/>
        </w:rPr>
        <w:t>:</w:t>
      </w:r>
      <w:r w:rsidR="00EB40FF" w:rsidRPr="00EB40FF">
        <w:t xml:space="preserve"> </w:t>
      </w:r>
      <w:hyperlink r:id="rId13" w:history="1">
        <w:r w:rsidR="00EB40FF" w:rsidRPr="0036165C">
          <w:rPr>
            <w:rStyle w:val="a3"/>
            <w:sz w:val="28"/>
            <w:szCs w:val="28"/>
          </w:rPr>
          <w:t>https://www.forbes.ru/investicii/471607-esg-bylo-pasom-zapadnym-investoram-est-li-budusee-u-zelenyh-obligacij</w:t>
        </w:r>
      </w:hyperlink>
      <w:r w:rsidR="00EB40FF">
        <w:rPr>
          <w:sz w:val="28"/>
          <w:szCs w:val="28"/>
        </w:rPr>
        <w:t xml:space="preserve">(дата обращения </w:t>
      </w:r>
      <w:r w:rsidR="00F8220D">
        <w:rPr>
          <w:sz w:val="28"/>
          <w:szCs w:val="28"/>
        </w:rPr>
        <w:t>1</w:t>
      </w:r>
      <w:r w:rsidR="00BD3C02">
        <w:rPr>
          <w:sz w:val="28"/>
          <w:szCs w:val="28"/>
        </w:rPr>
        <w:t>5</w:t>
      </w:r>
      <w:r w:rsidR="00EB40FF">
        <w:rPr>
          <w:sz w:val="28"/>
          <w:szCs w:val="28"/>
        </w:rPr>
        <w:t>.1</w:t>
      </w:r>
      <w:r w:rsidR="00BD3C02">
        <w:rPr>
          <w:sz w:val="28"/>
          <w:szCs w:val="28"/>
        </w:rPr>
        <w:t>0</w:t>
      </w:r>
      <w:r w:rsidR="00EB40FF">
        <w:rPr>
          <w:sz w:val="28"/>
          <w:szCs w:val="28"/>
        </w:rPr>
        <w:t>.202</w:t>
      </w:r>
      <w:r w:rsidR="00BD3C02">
        <w:rPr>
          <w:sz w:val="28"/>
          <w:szCs w:val="28"/>
        </w:rPr>
        <w:t>3</w:t>
      </w:r>
      <w:r w:rsidR="00EB40FF">
        <w:rPr>
          <w:sz w:val="28"/>
          <w:szCs w:val="28"/>
        </w:rPr>
        <w:t xml:space="preserve">) </w:t>
      </w:r>
      <w:r w:rsidR="00EB40FF" w:rsidRPr="00880A72">
        <w:rPr>
          <w:sz w:val="28"/>
          <w:szCs w:val="28"/>
        </w:rPr>
        <w:t xml:space="preserve"> </w:t>
      </w:r>
    </w:p>
    <w:p w14:paraId="4EBCCE79" w14:textId="2F95195D" w:rsidR="00E627E0" w:rsidRDefault="00BD3C02" w:rsidP="00AE3EDD">
      <w:pPr>
        <w:pStyle w:val="yl27r"/>
        <w:numPr>
          <w:ilvl w:val="0"/>
          <w:numId w:val="2"/>
        </w:numPr>
        <w:shd w:val="clear" w:color="auto" w:fill="FCFCFC"/>
        <w:spacing w:before="240" w:beforeAutospacing="0" w:after="480" w:afterAutospacing="0"/>
        <w:contextualSpacing/>
        <w:jc w:val="both"/>
        <w:rPr>
          <w:sz w:val="28"/>
          <w:szCs w:val="28"/>
        </w:rPr>
      </w:pPr>
      <w:r w:rsidRPr="00BD3C02">
        <w:rPr>
          <w:sz w:val="28"/>
          <w:szCs w:val="28"/>
        </w:rPr>
        <w:t>Е</w:t>
      </w:r>
      <w:r>
        <w:rPr>
          <w:sz w:val="28"/>
          <w:szCs w:val="28"/>
        </w:rPr>
        <w:t xml:space="preserve">жегодный доклад </w:t>
      </w:r>
      <w:r w:rsidRPr="00BD3C02">
        <w:rPr>
          <w:sz w:val="28"/>
          <w:szCs w:val="28"/>
        </w:rPr>
        <w:t>«</w:t>
      </w:r>
      <w:r w:rsidRPr="00BD3C02">
        <w:rPr>
          <w:sz w:val="28"/>
          <w:szCs w:val="28"/>
          <w:lang w:val="en-US"/>
        </w:rPr>
        <w:t>ESG</w:t>
      </w:r>
      <w:r w:rsidRPr="00BD3C02">
        <w:rPr>
          <w:sz w:val="28"/>
          <w:szCs w:val="28"/>
        </w:rPr>
        <w:t xml:space="preserve">, </w:t>
      </w:r>
      <w:r>
        <w:rPr>
          <w:sz w:val="28"/>
          <w:szCs w:val="28"/>
        </w:rPr>
        <w:t xml:space="preserve">декарбонизация и зеленые финансы России 2022 </w:t>
      </w:r>
      <w:r w:rsidR="00F8220D" w:rsidRPr="00DE0A45">
        <w:rPr>
          <w:sz w:val="28"/>
          <w:szCs w:val="28"/>
        </w:rPr>
        <w:t>[Электронный ресурс].</w:t>
      </w:r>
      <w:r>
        <w:rPr>
          <w:sz w:val="28"/>
          <w:szCs w:val="28"/>
        </w:rPr>
        <w:t xml:space="preserve"> </w:t>
      </w:r>
      <w:r w:rsidR="00F8220D" w:rsidRPr="00DE0A45">
        <w:rPr>
          <w:sz w:val="28"/>
          <w:szCs w:val="28"/>
        </w:rPr>
        <w:t xml:space="preserve">Режим доступа: </w:t>
      </w:r>
      <w:hyperlink r:id="rId14" w:history="1">
        <w:r w:rsidRPr="000E4710">
          <w:rPr>
            <w:rStyle w:val="a3"/>
          </w:rPr>
          <w:t>https://infragreen.ru/frontend/images/PDF/INFRAGREEN_Green_finance_ESG_Russia_2023.pdf</w:t>
        </w:r>
      </w:hyperlink>
      <w:r>
        <w:t xml:space="preserve"> </w:t>
      </w:r>
      <w:r w:rsidR="00F8220D" w:rsidRPr="00DE0A45">
        <w:rPr>
          <w:sz w:val="28"/>
          <w:szCs w:val="28"/>
        </w:rPr>
        <w:t xml:space="preserve"> (</w:t>
      </w:r>
      <w:r w:rsidR="004E44C8">
        <w:rPr>
          <w:sz w:val="28"/>
          <w:szCs w:val="28"/>
        </w:rPr>
        <w:t>д</w:t>
      </w:r>
      <w:r w:rsidR="00F8220D" w:rsidRPr="00DE0A45">
        <w:rPr>
          <w:sz w:val="28"/>
          <w:szCs w:val="28"/>
        </w:rPr>
        <w:t>ата обращения: 1</w:t>
      </w:r>
      <w:r>
        <w:rPr>
          <w:sz w:val="28"/>
          <w:szCs w:val="28"/>
        </w:rPr>
        <w:t>5</w:t>
      </w:r>
      <w:r w:rsidR="00F8220D" w:rsidRPr="00DE0A45">
        <w:rPr>
          <w:sz w:val="28"/>
          <w:szCs w:val="28"/>
        </w:rPr>
        <w:t>.1</w:t>
      </w:r>
      <w:r>
        <w:rPr>
          <w:sz w:val="28"/>
          <w:szCs w:val="28"/>
        </w:rPr>
        <w:t>0</w:t>
      </w:r>
      <w:r w:rsidR="00F8220D" w:rsidRPr="00DE0A45">
        <w:rPr>
          <w:sz w:val="28"/>
          <w:szCs w:val="28"/>
        </w:rPr>
        <w:t>.202</w:t>
      </w:r>
      <w:r>
        <w:rPr>
          <w:sz w:val="28"/>
          <w:szCs w:val="28"/>
        </w:rPr>
        <w:t>3).</w:t>
      </w:r>
    </w:p>
    <w:p w14:paraId="05FADCD4" w14:textId="28C55A1F" w:rsidR="004E44C8" w:rsidRPr="004E44C8" w:rsidRDefault="00B70564" w:rsidP="004E44C8">
      <w:pPr>
        <w:pStyle w:val="yl27r"/>
        <w:numPr>
          <w:ilvl w:val="0"/>
          <w:numId w:val="2"/>
        </w:numPr>
        <w:shd w:val="clear" w:color="auto" w:fill="FCFCFC"/>
        <w:spacing w:before="240" w:beforeAutospacing="0" w:after="480" w:afterAutospacing="0"/>
        <w:contextualSpacing/>
        <w:jc w:val="both"/>
        <w:rPr>
          <w:sz w:val="28"/>
          <w:szCs w:val="28"/>
        </w:rPr>
      </w:pPr>
      <w:hyperlink r:id="rId15" w:history="1">
        <w:r w:rsidR="004E44C8" w:rsidRPr="00BD3C02">
          <w:rPr>
            <w:sz w:val="28"/>
            <w:szCs w:val="28"/>
          </w:rPr>
          <w:t xml:space="preserve">ИНФРАГРИН включил два выпуска облигаций в Реестр зеленых и социальных облигаций </w:t>
        </w:r>
      </w:hyperlink>
      <w:r w:rsidR="004E44C8" w:rsidRPr="00BD3C02">
        <w:rPr>
          <w:sz w:val="28"/>
          <w:szCs w:val="28"/>
        </w:rPr>
        <w:t>[Электронный ресурс].</w:t>
      </w:r>
      <w:r w:rsidR="004E44C8" w:rsidRPr="00BD3C02">
        <w:t xml:space="preserve"> </w:t>
      </w:r>
      <w:r w:rsidR="004E44C8" w:rsidRPr="00BD3C02">
        <w:rPr>
          <w:sz w:val="28"/>
          <w:szCs w:val="28"/>
        </w:rPr>
        <w:t>Режим доступа:</w:t>
      </w:r>
      <w:r w:rsidR="004E44C8" w:rsidRPr="00BD3C02">
        <w:t xml:space="preserve"> </w:t>
      </w:r>
      <w:hyperlink r:id="rId16" w:history="1">
        <w:r w:rsidR="004E44C8" w:rsidRPr="000E4710">
          <w:rPr>
            <w:rStyle w:val="a3"/>
            <w:sz w:val="28"/>
            <w:szCs w:val="28"/>
          </w:rPr>
          <w:t>https://infragreen.ru/news/135774</w:t>
        </w:r>
      </w:hyperlink>
      <w:r w:rsidR="004E44C8">
        <w:rPr>
          <w:sz w:val="28"/>
          <w:szCs w:val="28"/>
        </w:rPr>
        <w:t xml:space="preserve"> </w:t>
      </w:r>
      <w:r w:rsidR="004E44C8" w:rsidRPr="00BD3C02">
        <w:rPr>
          <w:sz w:val="28"/>
          <w:szCs w:val="28"/>
        </w:rPr>
        <w:t>(</w:t>
      </w:r>
      <w:r w:rsidR="004E44C8">
        <w:rPr>
          <w:sz w:val="28"/>
          <w:szCs w:val="28"/>
        </w:rPr>
        <w:t>д</w:t>
      </w:r>
      <w:r w:rsidR="004E44C8" w:rsidRPr="00BD3C02">
        <w:rPr>
          <w:sz w:val="28"/>
          <w:szCs w:val="28"/>
        </w:rPr>
        <w:t>ата обращения: 1</w:t>
      </w:r>
      <w:r w:rsidR="004E44C8">
        <w:rPr>
          <w:sz w:val="28"/>
          <w:szCs w:val="28"/>
        </w:rPr>
        <w:t>5</w:t>
      </w:r>
      <w:r w:rsidR="004E44C8" w:rsidRPr="00BD3C02">
        <w:rPr>
          <w:sz w:val="28"/>
          <w:szCs w:val="28"/>
        </w:rPr>
        <w:t>.1</w:t>
      </w:r>
      <w:r w:rsidR="004E44C8">
        <w:rPr>
          <w:sz w:val="28"/>
          <w:szCs w:val="28"/>
        </w:rPr>
        <w:t>0</w:t>
      </w:r>
      <w:r w:rsidR="004E44C8" w:rsidRPr="00BD3C02">
        <w:rPr>
          <w:sz w:val="28"/>
          <w:szCs w:val="28"/>
        </w:rPr>
        <w:t>.202</w:t>
      </w:r>
      <w:r w:rsidR="004E44C8">
        <w:rPr>
          <w:sz w:val="28"/>
          <w:szCs w:val="28"/>
        </w:rPr>
        <w:t>3</w:t>
      </w:r>
      <w:r w:rsidR="004E44C8" w:rsidRPr="00BD3C02">
        <w:rPr>
          <w:sz w:val="28"/>
          <w:szCs w:val="28"/>
        </w:rPr>
        <w:t>)</w:t>
      </w:r>
    </w:p>
    <w:sectPr w:rsidR="004E44C8" w:rsidRPr="004E44C8" w:rsidSect="00854F9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2F6F"/>
    <w:multiLevelType w:val="hybridMultilevel"/>
    <w:tmpl w:val="E292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C31E8"/>
    <w:multiLevelType w:val="hybridMultilevel"/>
    <w:tmpl w:val="F8A8EB64"/>
    <w:lvl w:ilvl="0" w:tplc="04190011">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1E1768"/>
    <w:multiLevelType w:val="hybridMultilevel"/>
    <w:tmpl w:val="6156BD04"/>
    <w:lvl w:ilvl="0" w:tplc="B57A8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07A5E"/>
    <w:multiLevelType w:val="hybridMultilevel"/>
    <w:tmpl w:val="E1C25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3B14F03"/>
    <w:multiLevelType w:val="hybridMultilevel"/>
    <w:tmpl w:val="AA865B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A06FA0"/>
    <w:multiLevelType w:val="hybridMultilevel"/>
    <w:tmpl w:val="33629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7B3865"/>
    <w:multiLevelType w:val="hybridMultilevel"/>
    <w:tmpl w:val="AA8AF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972E5F"/>
    <w:multiLevelType w:val="hybridMultilevel"/>
    <w:tmpl w:val="5CC44A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4DB284A"/>
    <w:multiLevelType w:val="hybridMultilevel"/>
    <w:tmpl w:val="13A8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AC2765"/>
    <w:multiLevelType w:val="hybridMultilevel"/>
    <w:tmpl w:val="7A045022"/>
    <w:lvl w:ilvl="0" w:tplc="40648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3F1D4D"/>
    <w:multiLevelType w:val="hybridMultilevel"/>
    <w:tmpl w:val="918C23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8C185C"/>
    <w:multiLevelType w:val="hybridMultilevel"/>
    <w:tmpl w:val="8FB0B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243FC5"/>
    <w:multiLevelType w:val="hybridMultilevel"/>
    <w:tmpl w:val="7F02DF90"/>
    <w:lvl w:ilvl="0" w:tplc="2E6AF82E">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9"/>
  </w:num>
  <w:num w:numId="5">
    <w:abstractNumId w:val="2"/>
  </w:num>
  <w:num w:numId="6">
    <w:abstractNumId w:val="8"/>
  </w:num>
  <w:num w:numId="7">
    <w:abstractNumId w:val="12"/>
  </w:num>
  <w:num w:numId="8">
    <w:abstractNumId w:val="3"/>
  </w:num>
  <w:num w:numId="9">
    <w:abstractNumId w:val="4"/>
  </w:num>
  <w:num w:numId="10">
    <w:abstractNumId w:val="7"/>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E74"/>
    <w:rsid w:val="00086957"/>
    <w:rsid w:val="00093E31"/>
    <w:rsid w:val="000B54CD"/>
    <w:rsid w:val="000F30C1"/>
    <w:rsid w:val="000F311F"/>
    <w:rsid w:val="00100EE2"/>
    <w:rsid w:val="00103811"/>
    <w:rsid w:val="00110F79"/>
    <w:rsid w:val="00122ACB"/>
    <w:rsid w:val="0014782A"/>
    <w:rsid w:val="001A7443"/>
    <w:rsid w:val="001B59F7"/>
    <w:rsid w:val="001D2895"/>
    <w:rsid w:val="002229D8"/>
    <w:rsid w:val="002433DB"/>
    <w:rsid w:val="00243741"/>
    <w:rsid w:val="002649BB"/>
    <w:rsid w:val="00272E76"/>
    <w:rsid w:val="00274035"/>
    <w:rsid w:val="00282BA6"/>
    <w:rsid w:val="002911E2"/>
    <w:rsid w:val="002D34FC"/>
    <w:rsid w:val="002D3FD5"/>
    <w:rsid w:val="002F1D04"/>
    <w:rsid w:val="002F2466"/>
    <w:rsid w:val="002F661B"/>
    <w:rsid w:val="00371E06"/>
    <w:rsid w:val="003766FC"/>
    <w:rsid w:val="00377C49"/>
    <w:rsid w:val="00454F85"/>
    <w:rsid w:val="0049223B"/>
    <w:rsid w:val="004A321C"/>
    <w:rsid w:val="004E44C8"/>
    <w:rsid w:val="004F7405"/>
    <w:rsid w:val="005059F7"/>
    <w:rsid w:val="0052639B"/>
    <w:rsid w:val="0054049D"/>
    <w:rsid w:val="00544B74"/>
    <w:rsid w:val="0056441C"/>
    <w:rsid w:val="00581B2E"/>
    <w:rsid w:val="005B26C3"/>
    <w:rsid w:val="005E3805"/>
    <w:rsid w:val="00604410"/>
    <w:rsid w:val="006167DC"/>
    <w:rsid w:val="00647A0E"/>
    <w:rsid w:val="00655097"/>
    <w:rsid w:val="00671E0B"/>
    <w:rsid w:val="006B32CA"/>
    <w:rsid w:val="006C4E74"/>
    <w:rsid w:val="007077B3"/>
    <w:rsid w:val="00720CF2"/>
    <w:rsid w:val="00726F14"/>
    <w:rsid w:val="007C496C"/>
    <w:rsid w:val="007C4B57"/>
    <w:rsid w:val="008056D6"/>
    <w:rsid w:val="00811171"/>
    <w:rsid w:val="00816D1D"/>
    <w:rsid w:val="008359E4"/>
    <w:rsid w:val="00854F91"/>
    <w:rsid w:val="00880A72"/>
    <w:rsid w:val="00886958"/>
    <w:rsid w:val="00886E9D"/>
    <w:rsid w:val="00891691"/>
    <w:rsid w:val="008A5CB6"/>
    <w:rsid w:val="008C22C4"/>
    <w:rsid w:val="008E30BF"/>
    <w:rsid w:val="008F7E2E"/>
    <w:rsid w:val="0090344B"/>
    <w:rsid w:val="009257C6"/>
    <w:rsid w:val="00943D69"/>
    <w:rsid w:val="0096241D"/>
    <w:rsid w:val="009B0CA9"/>
    <w:rsid w:val="009B51ED"/>
    <w:rsid w:val="009F1D30"/>
    <w:rsid w:val="00A5080F"/>
    <w:rsid w:val="00A65C4C"/>
    <w:rsid w:val="00A65C99"/>
    <w:rsid w:val="00AA0716"/>
    <w:rsid w:val="00AD51F0"/>
    <w:rsid w:val="00AE3EDD"/>
    <w:rsid w:val="00B3034D"/>
    <w:rsid w:val="00B4652A"/>
    <w:rsid w:val="00B70564"/>
    <w:rsid w:val="00BD3C02"/>
    <w:rsid w:val="00BE4496"/>
    <w:rsid w:val="00C004E9"/>
    <w:rsid w:val="00C71880"/>
    <w:rsid w:val="00CA759A"/>
    <w:rsid w:val="00CF3AF1"/>
    <w:rsid w:val="00D03979"/>
    <w:rsid w:val="00D246CD"/>
    <w:rsid w:val="00D8405F"/>
    <w:rsid w:val="00DE0A45"/>
    <w:rsid w:val="00DF49F2"/>
    <w:rsid w:val="00E02D7B"/>
    <w:rsid w:val="00E249C4"/>
    <w:rsid w:val="00E36750"/>
    <w:rsid w:val="00E410A5"/>
    <w:rsid w:val="00E627E0"/>
    <w:rsid w:val="00EB40FF"/>
    <w:rsid w:val="00EC2EEB"/>
    <w:rsid w:val="00EC5005"/>
    <w:rsid w:val="00ED421A"/>
    <w:rsid w:val="00EE449A"/>
    <w:rsid w:val="00EF64BB"/>
    <w:rsid w:val="00F04BB8"/>
    <w:rsid w:val="00F1436F"/>
    <w:rsid w:val="00F24DF9"/>
    <w:rsid w:val="00F30EB7"/>
    <w:rsid w:val="00F55C79"/>
    <w:rsid w:val="00F74135"/>
    <w:rsid w:val="00F8220D"/>
    <w:rsid w:val="00F87E77"/>
    <w:rsid w:val="00F935EA"/>
    <w:rsid w:val="00FA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749D"/>
  <w15:docId w15:val="{EF832A88-0040-45E3-8B81-9B5D53AB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80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DB"/>
    <w:rPr>
      <w:color w:val="0000FF"/>
      <w:u w:val="single"/>
    </w:rPr>
  </w:style>
  <w:style w:type="paragraph" w:customStyle="1" w:styleId="yl27r">
    <w:name w:val="yl27r"/>
    <w:basedOn w:val="a"/>
    <w:rsid w:val="0024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F3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0F30C1"/>
    <w:rPr>
      <w:color w:val="954F72" w:themeColor="followedHyperlink"/>
      <w:u w:val="single"/>
    </w:rPr>
  </w:style>
  <w:style w:type="paragraph" w:styleId="a6">
    <w:name w:val="List Paragraph"/>
    <w:basedOn w:val="a"/>
    <w:uiPriority w:val="34"/>
    <w:qFormat/>
    <w:rsid w:val="000F30C1"/>
    <w:pPr>
      <w:ind w:left="720"/>
      <w:contextualSpacing/>
    </w:pPr>
  </w:style>
  <w:style w:type="character" w:styleId="a7">
    <w:name w:val="Unresolved Mention"/>
    <w:basedOn w:val="a0"/>
    <w:uiPriority w:val="99"/>
    <w:semiHidden/>
    <w:unhideWhenUsed/>
    <w:rsid w:val="00E627E0"/>
    <w:rPr>
      <w:color w:val="605E5C"/>
      <w:shd w:val="clear" w:color="auto" w:fill="E1DFDD"/>
    </w:rPr>
  </w:style>
  <w:style w:type="character" w:customStyle="1" w:styleId="10">
    <w:name w:val="Заголовок 1 Знак"/>
    <w:basedOn w:val="a0"/>
    <w:link w:val="1"/>
    <w:uiPriority w:val="9"/>
    <w:rsid w:val="00880A7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476">
      <w:bodyDiv w:val="1"/>
      <w:marLeft w:val="0"/>
      <w:marRight w:val="0"/>
      <w:marTop w:val="0"/>
      <w:marBottom w:val="0"/>
      <w:divBdr>
        <w:top w:val="none" w:sz="0" w:space="0" w:color="auto"/>
        <w:left w:val="none" w:sz="0" w:space="0" w:color="auto"/>
        <w:bottom w:val="none" w:sz="0" w:space="0" w:color="auto"/>
        <w:right w:val="none" w:sz="0" w:space="0" w:color="auto"/>
      </w:divBdr>
    </w:div>
    <w:div w:id="187526515">
      <w:bodyDiv w:val="1"/>
      <w:marLeft w:val="0"/>
      <w:marRight w:val="0"/>
      <w:marTop w:val="0"/>
      <w:marBottom w:val="0"/>
      <w:divBdr>
        <w:top w:val="none" w:sz="0" w:space="0" w:color="auto"/>
        <w:left w:val="none" w:sz="0" w:space="0" w:color="auto"/>
        <w:bottom w:val="none" w:sz="0" w:space="0" w:color="auto"/>
        <w:right w:val="none" w:sz="0" w:space="0" w:color="auto"/>
      </w:divBdr>
    </w:div>
    <w:div w:id="359747395">
      <w:bodyDiv w:val="1"/>
      <w:marLeft w:val="0"/>
      <w:marRight w:val="0"/>
      <w:marTop w:val="0"/>
      <w:marBottom w:val="0"/>
      <w:divBdr>
        <w:top w:val="none" w:sz="0" w:space="0" w:color="auto"/>
        <w:left w:val="none" w:sz="0" w:space="0" w:color="auto"/>
        <w:bottom w:val="none" w:sz="0" w:space="0" w:color="auto"/>
        <w:right w:val="none" w:sz="0" w:space="0" w:color="auto"/>
      </w:divBdr>
    </w:div>
    <w:div w:id="955449368">
      <w:bodyDiv w:val="1"/>
      <w:marLeft w:val="0"/>
      <w:marRight w:val="0"/>
      <w:marTop w:val="0"/>
      <w:marBottom w:val="0"/>
      <w:divBdr>
        <w:top w:val="none" w:sz="0" w:space="0" w:color="auto"/>
        <w:left w:val="none" w:sz="0" w:space="0" w:color="auto"/>
        <w:bottom w:val="none" w:sz="0" w:space="0" w:color="auto"/>
        <w:right w:val="none" w:sz="0" w:space="0" w:color="auto"/>
      </w:divBdr>
    </w:div>
    <w:div w:id="979001318">
      <w:bodyDiv w:val="1"/>
      <w:marLeft w:val="0"/>
      <w:marRight w:val="0"/>
      <w:marTop w:val="0"/>
      <w:marBottom w:val="0"/>
      <w:divBdr>
        <w:top w:val="none" w:sz="0" w:space="0" w:color="auto"/>
        <w:left w:val="none" w:sz="0" w:space="0" w:color="auto"/>
        <w:bottom w:val="none" w:sz="0" w:space="0" w:color="auto"/>
        <w:right w:val="none" w:sz="0" w:space="0" w:color="auto"/>
      </w:divBdr>
    </w:div>
    <w:div w:id="1893885758">
      <w:bodyDiv w:val="1"/>
      <w:marLeft w:val="0"/>
      <w:marRight w:val="0"/>
      <w:marTop w:val="0"/>
      <w:marBottom w:val="0"/>
      <w:divBdr>
        <w:top w:val="none" w:sz="0" w:space="0" w:color="auto"/>
        <w:left w:val="none" w:sz="0" w:space="0" w:color="auto"/>
        <w:bottom w:val="none" w:sz="0" w:space="0" w:color="auto"/>
        <w:right w:val="none" w:sz="0" w:space="0" w:color="auto"/>
      </w:divBdr>
    </w:div>
    <w:div w:id="21337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www.forbes.ru/investicii/471607-esg-bylo-pasom-zapadnym-investoram-est-li-budusee-u-zelenyh-obligaci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bondguide.moex.com/articles/bond-preparation-process/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ragreen.ru/news/135774"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cbr.ru/content/document/file/143773/onfr_2023-2025.pdf" TargetMode="External"/><Relationship Id="rId5" Type="http://schemas.openxmlformats.org/officeDocument/2006/relationships/diagramData" Target="diagrams/data1.xml"/><Relationship Id="rId15" Type="http://schemas.openxmlformats.org/officeDocument/2006/relationships/hyperlink" Target="https://infragreen.ru/news/135774"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infragreen.ru/frontend/images/PDF/INFRAGREEN_Green_finance_ESG_Russia_2023.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Объем выпуска облигаций в формате                    устойчивого развития, млрд руб.</a:t>
            </a:r>
          </a:p>
        </c:rich>
      </c:tx>
      <c:layout>
        <c:manualLayout>
          <c:xMode val="edge"/>
          <c:yMode val="edge"/>
          <c:x val="0.18944630145032937"/>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3.2563647128478389E-2"/>
          <c:y val="0.15106117353308365"/>
          <c:w val="0.93487270574304326"/>
          <c:h val="0.70413066344235065"/>
        </c:manualLayout>
      </c:layout>
      <c:barChart>
        <c:barDir val="col"/>
        <c:grouping val="clustered"/>
        <c:varyColors val="0"/>
        <c:ser>
          <c:idx val="0"/>
          <c:order val="0"/>
          <c:tx>
            <c:strRef>
              <c:f>Sheet1!$B$6</c:f>
              <c:strCache>
                <c:ptCount val="1"/>
                <c:pt idx="0">
                  <c:v>Объем выпуска облигаций в формате устойчивого развития, млрд руб.</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layout>
                <c:manualLayout>
                  <c:x val="0"/>
                  <c:y val="0.1026138586609258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1D-45F8-BEAD-3E83130B6B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Sheet1!$C$5:$G$5</c:f>
              <c:numCache>
                <c:formatCode>General</c:formatCode>
                <c:ptCount val="5"/>
                <c:pt idx="0">
                  <c:v>2018</c:v>
                </c:pt>
                <c:pt idx="1">
                  <c:v>2019</c:v>
                </c:pt>
                <c:pt idx="2">
                  <c:v>2020</c:v>
                </c:pt>
                <c:pt idx="3">
                  <c:v>2021</c:v>
                </c:pt>
                <c:pt idx="4">
                  <c:v>2022</c:v>
                </c:pt>
              </c:numCache>
            </c:numRef>
          </c:cat>
          <c:val>
            <c:numRef>
              <c:f>Sheet1!$C$6:$G$6</c:f>
              <c:numCache>
                <c:formatCode>General</c:formatCode>
                <c:ptCount val="5"/>
                <c:pt idx="0">
                  <c:v>1.1000000000000001</c:v>
                </c:pt>
                <c:pt idx="1">
                  <c:v>36.67</c:v>
                </c:pt>
                <c:pt idx="2">
                  <c:v>168.73</c:v>
                </c:pt>
                <c:pt idx="3">
                  <c:v>211.89</c:v>
                </c:pt>
                <c:pt idx="4">
                  <c:v>106.17</c:v>
                </c:pt>
              </c:numCache>
            </c:numRef>
          </c:val>
          <c:extLst>
            <c:ext xmlns:c16="http://schemas.microsoft.com/office/drawing/2014/chart" uri="{C3380CC4-5D6E-409C-BE32-E72D297353CC}">
              <c16:uniqueId val="{00000000-11B7-4E87-B4C6-92FC7FE1D812}"/>
            </c:ext>
          </c:extLst>
        </c:ser>
        <c:dLbls>
          <c:dLblPos val="inEnd"/>
          <c:showLegendKey val="0"/>
          <c:showVal val="1"/>
          <c:showCatName val="0"/>
          <c:showSerName val="0"/>
          <c:showPercent val="0"/>
          <c:showBubbleSize val="0"/>
        </c:dLbls>
        <c:gapWidth val="65"/>
        <c:axId val="1066557584"/>
        <c:axId val="1066558000"/>
      </c:barChart>
      <c:catAx>
        <c:axId val="106655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66558000"/>
        <c:crosses val="autoZero"/>
        <c:auto val="1"/>
        <c:lblAlgn val="ctr"/>
        <c:lblOffset val="100"/>
        <c:noMultiLvlLbl val="0"/>
      </c:catAx>
      <c:valAx>
        <c:axId val="1066558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665575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7CC7F-674F-41E7-8054-37EBA5A4D67F}" type="doc">
      <dgm:prSet loTypeId="urn:microsoft.com/office/officeart/2005/8/layout/hChevron3" loCatId="process" qsTypeId="urn:microsoft.com/office/officeart/2005/8/quickstyle/simple1" qsCatId="simple" csTypeId="urn:microsoft.com/office/officeart/2005/8/colors/accent3_4" csCatId="accent3" phldr="1"/>
      <dgm:spPr/>
    </dgm:pt>
    <dgm:pt modelId="{7A552716-A7F5-4D49-97B3-1D7BB7AD93E2}">
      <dgm:prSet phldrT="[Текст]" custT="1"/>
      <dgm:spPr/>
      <dgm:t>
        <a:bodyPr/>
        <a:lstStyle/>
        <a:p>
          <a:pPr algn="ctr"/>
          <a:r>
            <a:rPr lang="ru-RU" sz="1000"/>
            <a:t>стремительный подъем ESG-повестки в конце 2021 </a:t>
          </a:r>
        </a:p>
      </dgm:t>
    </dgm:pt>
    <dgm:pt modelId="{BF8C439E-1806-447A-A410-43F2A95C855B}" type="parTrans" cxnId="{A17F9F62-CA42-423D-BE69-AF6FDB762BE6}">
      <dgm:prSet/>
      <dgm:spPr/>
      <dgm:t>
        <a:bodyPr/>
        <a:lstStyle/>
        <a:p>
          <a:pPr algn="ctr"/>
          <a:endParaRPr lang="ru-RU"/>
        </a:p>
      </dgm:t>
    </dgm:pt>
    <dgm:pt modelId="{DDA627D6-E13A-4B13-9016-501E0017B1E5}" type="sibTrans" cxnId="{A17F9F62-CA42-423D-BE69-AF6FDB762BE6}">
      <dgm:prSet/>
      <dgm:spPr/>
      <dgm:t>
        <a:bodyPr/>
        <a:lstStyle/>
        <a:p>
          <a:pPr algn="ctr"/>
          <a:endParaRPr lang="ru-RU"/>
        </a:p>
      </dgm:t>
    </dgm:pt>
    <dgm:pt modelId="{3DCAFDC0-A89A-4860-AFC1-B092501DE797}">
      <dgm:prSet phldrT="[Текст]" custT="1"/>
      <dgm:spPr/>
      <dgm:t>
        <a:bodyPr/>
        <a:lstStyle/>
        <a:p>
          <a:pPr algn="ctr"/>
          <a:r>
            <a:rPr lang="ru-RU" sz="1000">
              <a:latin typeface="Times New Roman" panose="02020603050405020304" pitchFamily="18" charset="0"/>
              <a:cs typeface="Times New Roman" panose="02020603050405020304" pitchFamily="18" charset="0"/>
            </a:rPr>
            <a:t>замирание повестки в начале полит</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 изменений в первой половине 2022 </a:t>
          </a:r>
        </a:p>
      </dgm:t>
    </dgm:pt>
    <dgm:pt modelId="{C0D2C82D-C6E8-40E8-90C5-6D96015877C0}" type="parTrans" cxnId="{B8C8C7C7-59A3-4311-8BA6-EFE3247634A1}">
      <dgm:prSet/>
      <dgm:spPr/>
      <dgm:t>
        <a:bodyPr/>
        <a:lstStyle/>
        <a:p>
          <a:pPr algn="ctr"/>
          <a:endParaRPr lang="ru-RU"/>
        </a:p>
      </dgm:t>
    </dgm:pt>
    <dgm:pt modelId="{92DAA49A-F10F-4218-8508-1F72930A15BA}" type="sibTrans" cxnId="{B8C8C7C7-59A3-4311-8BA6-EFE3247634A1}">
      <dgm:prSet/>
      <dgm:spPr/>
      <dgm:t>
        <a:bodyPr/>
        <a:lstStyle/>
        <a:p>
          <a:pPr algn="ctr"/>
          <a:endParaRPr lang="ru-RU"/>
        </a:p>
      </dgm:t>
    </dgm:pt>
    <dgm:pt modelId="{6E3506CF-670E-47CD-B48E-DCACB763B572}">
      <dgm:prSet phldrT="[Текст]" custT="1"/>
      <dgm:spPr/>
      <dgm:t>
        <a:bodyPr/>
        <a:lstStyle/>
        <a:p>
          <a:pPr algn="ctr"/>
          <a:r>
            <a:rPr lang="ru-RU" sz="1000">
              <a:latin typeface="Times New Roman" panose="02020603050405020304" pitchFamily="18" charset="0"/>
              <a:cs typeface="Times New Roman" panose="02020603050405020304" pitchFamily="18" charset="0"/>
            </a:rPr>
            <a:t>наметившийся перевес голосов против повестки ESG в середине года</a:t>
          </a:r>
        </a:p>
      </dgm:t>
    </dgm:pt>
    <dgm:pt modelId="{BD2D5601-3FC5-4648-9F54-A5F2D9197FF9}" type="parTrans" cxnId="{2FCD411B-0963-4641-AECB-9E7577288E72}">
      <dgm:prSet/>
      <dgm:spPr/>
      <dgm:t>
        <a:bodyPr/>
        <a:lstStyle/>
        <a:p>
          <a:pPr algn="ctr"/>
          <a:endParaRPr lang="ru-RU"/>
        </a:p>
      </dgm:t>
    </dgm:pt>
    <dgm:pt modelId="{98C4B9C1-B586-4EBB-9A52-BD289CCE2171}" type="sibTrans" cxnId="{2FCD411B-0963-4641-AECB-9E7577288E72}">
      <dgm:prSet/>
      <dgm:spPr/>
      <dgm:t>
        <a:bodyPr/>
        <a:lstStyle/>
        <a:p>
          <a:pPr algn="ctr"/>
          <a:endParaRPr lang="ru-RU"/>
        </a:p>
      </dgm:t>
    </dgm:pt>
    <dgm:pt modelId="{0B0BE454-00E9-46A2-937E-411C8220745D}">
      <dgm:prSet custT="1"/>
      <dgm:spPr/>
      <dgm:t>
        <a:bodyPr/>
        <a:lstStyle/>
        <a:p>
          <a:pPr algn="ctr"/>
          <a:r>
            <a:rPr lang="ru-RU" sz="1000">
              <a:latin typeface="Times New Roman" panose="02020603050405020304" pitchFamily="18" charset="0"/>
              <a:cs typeface="Times New Roman" panose="02020603050405020304" pitchFamily="18" charset="0"/>
            </a:rPr>
            <a:t>выравнивание ситуации к концу лету и упрочнение основ ESG осенью 2022</a:t>
          </a:r>
        </a:p>
      </dgm:t>
    </dgm:pt>
    <dgm:pt modelId="{531ABA7F-4A2C-41ED-AE77-C0B96B5DB5AF}" type="parTrans" cxnId="{F1A4B774-A18C-4724-BAD7-9F19B5900028}">
      <dgm:prSet/>
      <dgm:spPr/>
      <dgm:t>
        <a:bodyPr/>
        <a:lstStyle/>
        <a:p>
          <a:pPr algn="ctr"/>
          <a:endParaRPr lang="ru-RU"/>
        </a:p>
      </dgm:t>
    </dgm:pt>
    <dgm:pt modelId="{217691B0-97C4-414D-80E1-53088134209C}" type="sibTrans" cxnId="{F1A4B774-A18C-4724-BAD7-9F19B5900028}">
      <dgm:prSet/>
      <dgm:spPr/>
      <dgm:t>
        <a:bodyPr/>
        <a:lstStyle/>
        <a:p>
          <a:pPr algn="ctr"/>
          <a:endParaRPr lang="ru-RU"/>
        </a:p>
      </dgm:t>
    </dgm:pt>
    <dgm:pt modelId="{9973D62A-CE5F-4771-BC07-02460685F031}" type="pres">
      <dgm:prSet presAssocID="{FA67CC7F-674F-41E7-8054-37EBA5A4D67F}" presName="Name0" presStyleCnt="0">
        <dgm:presLayoutVars>
          <dgm:dir/>
          <dgm:resizeHandles val="exact"/>
        </dgm:presLayoutVars>
      </dgm:prSet>
      <dgm:spPr/>
    </dgm:pt>
    <dgm:pt modelId="{37A1B677-C422-4F4F-9B6B-E9AD7446B688}" type="pres">
      <dgm:prSet presAssocID="{7A552716-A7F5-4D49-97B3-1D7BB7AD93E2}" presName="parTxOnly" presStyleLbl="node1" presStyleIdx="0" presStyleCnt="4">
        <dgm:presLayoutVars>
          <dgm:bulletEnabled val="1"/>
        </dgm:presLayoutVars>
      </dgm:prSet>
      <dgm:spPr/>
    </dgm:pt>
    <dgm:pt modelId="{60C54F26-B3F9-4F01-9E2D-0BADC6FE5B62}" type="pres">
      <dgm:prSet presAssocID="{DDA627D6-E13A-4B13-9016-501E0017B1E5}" presName="parSpace" presStyleCnt="0"/>
      <dgm:spPr/>
    </dgm:pt>
    <dgm:pt modelId="{55E52065-EC98-499B-999C-C9FA67521854}" type="pres">
      <dgm:prSet presAssocID="{3DCAFDC0-A89A-4860-AFC1-B092501DE797}" presName="parTxOnly" presStyleLbl="node1" presStyleIdx="1" presStyleCnt="4">
        <dgm:presLayoutVars>
          <dgm:bulletEnabled val="1"/>
        </dgm:presLayoutVars>
      </dgm:prSet>
      <dgm:spPr/>
    </dgm:pt>
    <dgm:pt modelId="{525B10B2-D317-4C0F-9EC0-3B9DE37D9E4F}" type="pres">
      <dgm:prSet presAssocID="{92DAA49A-F10F-4218-8508-1F72930A15BA}" presName="parSpace" presStyleCnt="0"/>
      <dgm:spPr/>
    </dgm:pt>
    <dgm:pt modelId="{74019DB7-FC8C-4507-B553-690DAB38DABF}" type="pres">
      <dgm:prSet presAssocID="{6E3506CF-670E-47CD-B48E-DCACB763B572}" presName="parTxOnly" presStyleLbl="node1" presStyleIdx="2" presStyleCnt="4">
        <dgm:presLayoutVars>
          <dgm:bulletEnabled val="1"/>
        </dgm:presLayoutVars>
      </dgm:prSet>
      <dgm:spPr/>
    </dgm:pt>
    <dgm:pt modelId="{075C0642-3BD0-4A0F-B7FE-719360A8FB94}" type="pres">
      <dgm:prSet presAssocID="{98C4B9C1-B586-4EBB-9A52-BD289CCE2171}" presName="parSpace" presStyleCnt="0"/>
      <dgm:spPr/>
    </dgm:pt>
    <dgm:pt modelId="{D5C4411E-6025-421B-91E3-E86E109D03F5}" type="pres">
      <dgm:prSet presAssocID="{0B0BE454-00E9-46A2-937E-411C8220745D}" presName="parTxOnly" presStyleLbl="node1" presStyleIdx="3" presStyleCnt="4">
        <dgm:presLayoutVars>
          <dgm:bulletEnabled val="1"/>
        </dgm:presLayoutVars>
      </dgm:prSet>
      <dgm:spPr/>
    </dgm:pt>
  </dgm:ptLst>
  <dgm:cxnLst>
    <dgm:cxn modelId="{88A40D0A-1FB9-4DB6-AA50-C69921025ED4}" type="presOf" srcId="{7A552716-A7F5-4D49-97B3-1D7BB7AD93E2}" destId="{37A1B677-C422-4F4F-9B6B-E9AD7446B688}" srcOrd="0" destOrd="0" presId="urn:microsoft.com/office/officeart/2005/8/layout/hChevron3"/>
    <dgm:cxn modelId="{C7A7F00E-3248-4E36-A432-2BF6464AA6C3}" type="presOf" srcId="{0B0BE454-00E9-46A2-937E-411C8220745D}" destId="{D5C4411E-6025-421B-91E3-E86E109D03F5}" srcOrd="0" destOrd="0" presId="urn:microsoft.com/office/officeart/2005/8/layout/hChevron3"/>
    <dgm:cxn modelId="{2FCD411B-0963-4641-AECB-9E7577288E72}" srcId="{FA67CC7F-674F-41E7-8054-37EBA5A4D67F}" destId="{6E3506CF-670E-47CD-B48E-DCACB763B572}" srcOrd="2" destOrd="0" parTransId="{BD2D5601-3FC5-4648-9F54-A5F2D9197FF9}" sibTransId="{98C4B9C1-B586-4EBB-9A52-BD289CCE2171}"/>
    <dgm:cxn modelId="{A17F9F62-CA42-423D-BE69-AF6FDB762BE6}" srcId="{FA67CC7F-674F-41E7-8054-37EBA5A4D67F}" destId="{7A552716-A7F5-4D49-97B3-1D7BB7AD93E2}" srcOrd="0" destOrd="0" parTransId="{BF8C439E-1806-447A-A410-43F2A95C855B}" sibTransId="{DDA627D6-E13A-4B13-9016-501E0017B1E5}"/>
    <dgm:cxn modelId="{F1A4B774-A18C-4724-BAD7-9F19B5900028}" srcId="{FA67CC7F-674F-41E7-8054-37EBA5A4D67F}" destId="{0B0BE454-00E9-46A2-937E-411C8220745D}" srcOrd="3" destOrd="0" parTransId="{531ABA7F-4A2C-41ED-AE77-C0B96B5DB5AF}" sibTransId="{217691B0-97C4-414D-80E1-53088134209C}"/>
    <dgm:cxn modelId="{F4FEA675-4219-476E-8250-86098CD982F4}" type="presOf" srcId="{6E3506CF-670E-47CD-B48E-DCACB763B572}" destId="{74019DB7-FC8C-4507-B553-690DAB38DABF}" srcOrd="0" destOrd="0" presId="urn:microsoft.com/office/officeart/2005/8/layout/hChevron3"/>
    <dgm:cxn modelId="{7C37A48D-2D92-4A44-880F-6FAA2A87FA46}" type="presOf" srcId="{FA67CC7F-674F-41E7-8054-37EBA5A4D67F}" destId="{9973D62A-CE5F-4771-BC07-02460685F031}" srcOrd="0" destOrd="0" presId="urn:microsoft.com/office/officeart/2005/8/layout/hChevron3"/>
    <dgm:cxn modelId="{B8C8C7C7-59A3-4311-8BA6-EFE3247634A1}" srcId="{FA67CC7F-674F-41E7-8054-37EBA5A4D67F}" destId="{3DCAFDC0-A89A-4860-AFC1-B092501DE797}" srcOrd="1" destOrd="0" parTransId="{C0D2C82D-C6E8-40E8-90C5-6D96015877C0}" sibTransId="{92DAA49A-F10F-4218-8508-1F72930A15BA}"/>
    <dgm:cxn modelId="{B0F37CE7-F81F-4FD7-B9D6-468BE3C83573}" type="presOf" srcId="{3DCAFDC0-A89A-4860-AFC1-B092501DE797}" destId="{55E52065-EC98-499B-999C-C9FA67521854}" srcOrd="0" destOrd="0" presId="urn:microsoft.com/office/officeart/2005/8/layout/hChevron3"/>
    <dgm:cxn modelId="{BF497801-CD74-420B-ADD2-7A9538E41B3E}" type="presParOf" srcId="{9973D62A-CE5F-4771-BC07-02460685F031}" destId="{37A1B677-C422-4F4F-9B6B-E9AD7446B688}" srcOrd="0" destOrd="0" presId="urn:microsoft.com/office/officeart/2005/8/layout/hChevron3"/>
    <dgm:cxn modelId="{0EAAB950-DAE5-45CD-9AA6-BDD3BD0D67AF}" type="presParOf" srcId="{9973D62A-CE5F-4771-BC07-02460685F031}" destId="{60C54F26-B3F9-4F01-9E2D-0BADC6FE5B62}" srcOrd="1" destOrd="0" presId="urn:microsoft.com/office/officeart/2005/8/layout/hChevron3"/>
    <dgm:cxn modelId="{795C1F53-5C66-43D9-B541-8890B42A76C3}" type="presParOf" srcId="{9973D62A-CE5F-4771-BC07-02460685F031}" destId="{55E52065-EC98-499B-999C-C9FA67521854}" srcOrd="2" destOrd="0" presId="urn:microsoft.com/office/officeart/2005/8/layout/hChevron3"/>
    <dgm:cxn modelId="{BF69538E-A933-4885-8B72-8E00A058CECF}" type="presParOf" srcId="{9973D62A-CE5F-4771-BC07-02460685F031}" destId="{525B10B2-D317-4C0F-9EC0-3B9DE37D9E4F}" srcOrd="3" destOrd="0" presId="urn:microsoft.com/office/officeart/2005/8/layout/hChevron3"/>
    <dgm:cxn modelId="{926250E9-A472-4C5F-ABD7-2AD9ADED6D9A}" type="presParOf" srcId="{9973D62A-CE5F-4771-BC07-02460685F031}" destId="{74019DB7-FC8C-4507-B553-690DAB38DABF}" srcOrd="4" destOrd="0" presId="urn:microsoft.com/office/officeart/2005/8/layout/hChevron3"/>
    <dgm:cxn modelId="{CB8FC885-1FA6-40BD-8881-18EBEDB6483F}" type="presParOf" srcId="{9973D62A-CE5F-4771-BC07-02460685F031}" destId="{075C0642-3BD0-4A0F-B7FE-719360A8FB94}" srcOrd="5" destOrd="0" presId="urn:microsoft.com/office/officeart/2005/8/layout/hChevron3"/>
    <dgm:cxn modelId="{EF314890-9AFB-4E04-B3DA-BF8A1FABE5F0}" type="presParOf" srcId="{9973D62A-CE5F-4771-BC07-02460685F031}" destId="{D5C4411E-6025-421B-91E3-E86E109D03F5}" srcOrd="6"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1B677-C422-4F4F-9B6B-E9AD7446B688}">
      <dsp:nvSpPr>
        <dsp:cNvPr id="0" name=""/>
        <dsp:cNvSpPr/>
      </dsp:nvSpPr>
      <dsp:spPr>
        <a:xfrm>
          <a:off x="1739" y="5359"/>
          <a:ext cx="1744853" cy="697941"/>
        </a:xfrm>
        <a:prstGeom prst="homePlate">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ru-RU" sz="1000" kern="1200"/>
            <a:t>стремительный подъем ESG-повестки в конце 2021 </a:t>
          </a:r>
        </a:p>
      </dsp:txBody>
      <dsp:txXfrm>
        <a:off x="1739" y="5359"/>
        <a:ext cx="1570368" cy="697941"/>
      </dsp:txXfrm>
    </dsp:sp>
    <dsp:sp modelId="{55E52065-EC98-499B-999C-C9FA67521854}">
      <dsp:nvSpPr>
        <dsp:cNvPr id="0" name=""/>
        <dsp:cNvSpPr/>
      </dsp:nvSpPr>
      <dsp:spPr>
        <a:xfrm>
          <a:off x="1397621" y="5359"/>
          <a:ext cx="1744853" cy="697941"/>
        </a:xfrm>
        <a:prstGeom prst="chevron">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замирание повестки в начале полит</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 изменений в первой половине 2022 </a:t>
          </a:r>
        </a:p>
      </dsp:txBody>
      <dsp:txXfrm>
        <a:off x="1746592" y="5359"/>
        <a:ext cx="1046912" cy="697941"/>
      </dsp:txXfrm>
    </dsp:sp>
    <dsp:sp modelId="{74019DB7-FC8C-4507-B553-690DAB38DABF}">
      <dsp:nvSpPr>
        <dsp:cNvPr id="0" name=""/>
        <dsp:cNvSpPr/>
      </dsp:nvSpPr>
      <dsp:spPr>
        <a:xfrm>
          <a:off x="2793504" y="5359"/>
          <a:ext cx="1744853" cy="697941"/>
        </a:xfrm>
        <a:prstGeom prst="chevron">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наметившийся перевес голосов против повестки ESG в середине года</a:t>
          </a:r>
        </a:p>
      </dsp:txBody>
      <dsp:txXfrm>
        <a:off x="3142475" y="5359"/>
        <a:ext cx="1046912" cy="697941"/>
      </dsp:txXfrm>
    </dsp:sp>
    <dsp:sp modelId="{D5C4411E-6025-421B-91E3-E86E109D03F5}">
      <dsp:nvSpPr>
        <dsp:cNvPr id="0" name=""/>
        <dsp:cNvSpPr/>
      </dsp:nvSpPr>
      <dsp:spPr>
        <a:xfrm>
          <a:off x="4189387" y="5359"/>
          <a:ext cx="1744853" cy="697941"/>
        </a:xfrm>
        <a:prstGeom prst="chevron">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выравнивание ситуации к концу лету и упрочнение основ ESG осенью 2022</a:t>
          </a:r>
        </a:p>
      </dsp:txBody>
      <dsp:txXfrm>
        <a:off x="4538358" y="5359"/>
        <a:ext cx="1046912" cy="69794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426</TotalTime>
  <Pages>6</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Макарова</dc:creator>
  <cp:lastModifiedBy>Оксана Макарова</cp:lastModifiedBy>
  <cp:revision>80</cp:revision>
  <dcterms:created xsi:type="dcterms:W3CDTF">2023-02-10T10:33:00Z</dcterms:created>
  <dcterms:modified xsi:type="dcterms:W3CDTF">2023-10-17T19:09:00Z</dcterms:modified>
</cp:coreProperties>
</file>